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Pr="00C02B3B">
        <w:rPr>
          <w:rFonts w:ascii="Times New Roman" w:eastAsia="標楷體" w:hAnsi="Times New Roman" w:cs="Times New Roman"/>
          <w:b/>
          <w:sz w:val="28"/>
          <w:szCs w:val="28"/>
        </w:rPr>
        <w:t>年「</w:t>
      </w:r>
      <w:bookmarkStart w:id="0" w:name="_GoBack"/>
      <w:r w:rsidRPr="00C02B3B">
        <w:rPr>
          <w:rFonts w:ascii="Times New Roman" w:eastAsia="標楷體" w:hAnsi="Times New Roman" w:cs="Times New Roman"/>
          <w:b/>
          <w:sz w:val="28"/>
          <w:szCs w:val="28"/>
        </w:rPr>
        <w:t>緬甸</w:t>
      </w:r>
      <w:bookmarkEnd w:id="0"/>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以緬甸區域經貿、文化及產學資源為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Pr="00010765">
        <w:rPr>
          <w:rFonts w:ascii="Times New Roman" w:eastAsia="標楷體" w:hAnsi="Times New Roman" w:cs="Times New Roman"/>
        </w:rPr>
        <w:t>緬甸</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0372FA">
        <w:rPr>
          <w:rFonts w:ascii="Times New Roman" w:eastAsia="標楷體" w:hAnsi="Times New Roman" w:cs="Times New Roman"/>
          <w:color w:val="000000" w:themeColor="text1"/>
        </w:rPr>
        <w:t>各校申請人數</w:t>
      </w:r>
      <w:r w:rsidR="000372FA">
        <w:rPr>
          <w:rFonts w:ascii="Times New Roman" w:eastAsia="標楷體" w:hAnsi="Times New Roman" w:cs="Times New Roman" w:hint="eastAsia"/>
          <w:color w:val="000000" w:themeColor="text1"/>
        </w:rPr>
        <w:t>以</w:t>
      </w:r>
      <w:r w:rsidR="000372FA">
        <w:rPr>
          <w:rFonts w:ascii="Times New Roman" w:eastAsia="標楷體" w:hAnsi="Times New Roman" w:cs="Times New Roman" w:hint="eastAsia"/>
          <w:color w:val="000000" w:themeColor="text1"/>
        </w:rPr>
        <w:t>4</w:t>
      </w:r>
      <w:r w:rsidR="000372FA" w:rsidRPr="005B3182">
        <w:rPr>
          <w:rFonts w:ascii="Times New Roman" w:eastAsia="標楷體" w:hAnsi="Times New Roman" w:cs="Times New Roman" w:hint="eastAsia"/>
          <w:color w:val="000000" w:themeColor="text1"/>
        </w:rPr>
        <w:t>0</w:t>
      </w:r>
      <w:r w:rsidR="000372FA" w:rsidRPr="005B3182">
        <w:rPr>
          <w:rFonts w:ascii="Times New Roman" w:eastAsia="標楷體" w:hAnsi="Times New Roman" w:cs="Times New Roman"/>
          <w:color w:val="000000" w:themeColor="text1"/>
        </w:rPr>
        <w:t>人</w:t>
      </w:r>
      <w:r w:rsidR="000372FA">
        <w:rPr>
          <w:rFonts w:ascii="Times New Roman" w:eastAsia="標楷體" w:hAnsi="Times New Roman" w:cs="Times New Roman" w:hint="eastAsia"/>
          <w:color w:val="000000" w:themeColor="text1"/>
        </w:rPr>
        <w:t>為限，請於校內先行擇優篩選</w:t>
      </w:r>
      <w:r w:rsidR="000372FA"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每人赴緬甸考察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緬甸區域經貿文化及產學資源中心</w:t>
      </w:r>
      <w:r w:rsidRPr="00947765">
        <w:rPr>
          <w:rFonts w:ascii="Times New Roman" w:eastAsia="標楷體" w:hAnsi="Times New Roman" w:cs="Times New Roman"/>
        </w:rPr>
        <w:t>(</w:t>
      </w:r>
      <w:r w:rsidRPr="00947765">
        <w:rPr>
          <w:rFonts w:ascii="Times New Roman" w:eastAsia="標楷體" w:hAnsi="Times New Roman" w:cs="Times New Roman"/>
        </w:rPr>
        <w:t>以下簡稱本中心</w:t>
      </w:r>
      <w:r w:rsidRPr="00947765">
        <w:rPr>
          <w:rFonts w:ascii="Times New Roman" w:eastAsia="標楷體" w:hAnsi="Times New Roman" w:cs="Times New Roman"/>
        </w:rPr>
        <w:t>)</w:t>
      </w:r>
      <w:r w:rsidRPr="00947765">
        <w:rPr>
          <w:rFonts w:ascii="Times New Roman" w:eastAsia="標楷體" w:hAnsi="Times New Roman" w:cs="Times New Roman"/>
        </w:rPr>
        <w:t>業務會議就來稿做初步篩</w:t>
      </w:r>
      <w:r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6D5699" w:rsidRPr="00947765">
        <w:rPr>
          <w:rFonts w:ascii="Times New Roman" w:eastAsia="標楷體" w:hAnsi="Times New Roman" w:cs="Times New Roman"/>
        </w:rPr>
        <w:t>A(</w:t>
      </w:r>
      <w:r w:rsidR="006D5699" w:rsidRPr="00947765">
        <w:rPr>
          <w:rFonts w:ascii="Times New Roman" w:eastAsia="標楷體" w:hAnsi="Times New Roman" w:cs="Times New Roman"/>
        </w:rPr>
        <w:t>極力推薦</w:t>
      </w:r>
      <w:r w:rsidR="006D5699">
        <w:rPr>
          <w:rFonts w:ascii="Times New Roman" w:eastAsia="標楷體" w:hAnsi="Times New Roman" w:cs="Times New Roman"/>
        </w:rPr>
        <w:t>8</w:t>
      </w:r>
      <w:r w:rsidR="006D5699">
        <w:rPr>
          <w:rFonts w:ascii="Times New Roman" w:eastAsia="標楷體" w:hAnsi="Times New Roman" w:cs="Times New Roman" w:hint="eastAsia"/>
        </w:rPr>
        <w:t>6</w:t>
      </w:r>
      <w:r w:rsidR="006D5699" w:rsidRPr="00947765">
        <w:rPr>
          <w:rFonts w:ascii="Times New Roman" w:eastAsia="標楷體" w:hAnsi="Times New Roman" w:cs="Times New Roman"/>
        </w:rPr>
        <w:t>-100</w:t>
      </w:r>
      <w:r w:rsidR="006D5699" w:rsidRPr="00947765">
        <w:rPr>
          <w:rFonts w:ascii="Times New Roman" w:eastAsia="標楷體" w:hAnsi="Times New Roman" w:cs="Times New Roman"/>
        </w:rPr>
        <w:t>分</w:t>
      </w:r>
      <w:r w:rsidR="006D5699" w:rsidRPr="00947765">
        <w:rPr>
          <w:rFonts w:ascii="Times New Roman" w:eastAsia="標楷體" w:hAnsi="Times New Roman" w:cs="Times New Roman"/>
        </w:rPr>
        <w:t>)</w:t>
      </w:r>
      <w:r w:rsidR="006D5699" w:rsidRPr="00947765">
        <w:rPr>
          <w:rFonts w:ascii="Times New Roman" w:eastAsia="標楷體" w:hAnsi="Times New Roman" w:cs="Times New Roman"/>
        </w:rPr>
        <w:t>、</w:t>
      </w:r>
      <w:r w:rsidR="006D5699" w:rsidRPr="00947765">
        <w:rPr>
          <w:rFonts w:ascii="Times New Roman" w:eastAsia="標楷體" w:hAnsi="Times New Roman" w:cs="Times New Roman"/>
        </w:rPr>
        <w:t>B(</w:t>
      </w:r>
      <w:r w:rsidR="006D5699" w:rsidRPr="00947765">
        <w:rPr>
          <w:rFonts w:ascii="Times New Roman" w:eastAsia="標楷體" w:hAnsi="Times New Roman" w:cs="Times New Roman"/>
        </w:rPr>
        <w:t>推薦</w:t>
      </w:r>
      <w:r w:rsidR="006D5699" w:rsidRPr="00947765">
        <w:rPr>
          <w:rFonts w:ascii="Times New Roman" w:eastAsia="標楷體" w:hAnsi="Times New Roman" w:cs="Times New Roman"/>
        </w:rPr>
        <w:t>70-85</w:t>
      </w:r>
      <w:r w:rsidR="006D5699" w:rsidRPr="00947765">
        <w:rPr>
          <w:rFonts w:ascii="Times New Roman" w:eastAsia="標楷體" w:hAnsi="Times New Roman" w:cs="Times New Roman"/>
        </w:rPr>
        <w:t>分</w:t>
      </w:r>
      <w:r w:rsidR="006D5699" w:rsidRPr="00947765">
        <w:rPr>
          <w:rFonts w:ascii="Times New Roman" w:eastAsia="標楷體" w:hAnsi="Times New Roman" w:cs="Times New Roman"/>
        </w:rPr>
        <w:t>)</w:t>
      </w:r>
      <w:r w:rsidR="006D5699" w:rsidRPr="00947765">
        <w:rPr>
          <w:rFonts w:ascii="Times New Roman" w:eastAsia="標楷體" w:hAnsi="Times New Roman" w:cs="Times New Roman"/>
        </w:rPr>
        <w:t>、</w:t>
      </w:r>
      <w:r w:rsidR="006D5699" w:rsidRPr="00947765">
        <w:rPr>
          <w:rFonts w:ascii="Times New Roman" w:eastAsia="標楷體" w:hAnsi="Times New Roman" w:cs="Times New Roman"/>
        </w:rPr>
        <w:t>C(</w:t>
      </w:r>
      <w:r w:rsidR="006D5699" w:rsidRPr="00947765">
        <w:rPr>
          <w:rFonts w:ascii="Times New Roman" w:eastAsia="標楷體" w:hAnsi="Times New Roman" w:cs="Times New Roman"/>
        </w:rPr>
        <w:t>不推薦</w:t>
      </w:r>
      <w:r w:rsidR="006D5699">
        <w:rPr>
          <w:rFonts w:ascii="Times New Roman" w:eastAsia="標楷體" w:hAnsi="Times New Roman" w:cs="Times New Roman" w:hint="eastAsia"/>
        </w:rPr>
        <w:t>低於</w:t>
      </w:r>
      <w:r w:rsidR="006D5699" w:rsidRPr="00947765">
        <w:rPr>
          <w:rFonts w:ascii="Times New Roman" w:eastAsia="標楷體" w:hAnsi="Times New Roman" w:cs="Times New Roman"/>
        </w:rPr>
        <w:t>70</w:t>
      </w:r>
      <w:r w:rsidR="006D5699">
        <w:rPr>
          <w:rFonts w:ascii="Times New Roman" w:eastAsia="標楷體" w:hAnsi="Times New Roman" w:cs="Times New Roman"/>
        </w:rPr>
        <w:t>分</w:t>
      </w:r>
      <w:r w:rsidR="006D5699" w:rsidRPr="00947765">
        <w:rPr>
          <w:rFonts w:ascii="Times New Roman" w:eastAsia="標楷體" w:hAnsi="Times New Roman" w:cs="Times New Roman"/>
        </w:rPr>
        <w:t>)</w:t>
      </w:r>
      <w:r w:rsidR="006D5699"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Default="0005489A" w:rsidP="00405669">
      <w:pPr>
        <w:pStyle w:val="a3"/>
        <w:numPr>
          <w:ilvl w:val="0"/>
          <w:numId w:val="1"/>
        </w:numPr>
        <w:spacing w:beforeLines="50" w:before="180"/>
        <w:ind w:leftChars="0"/>
        <w:rPr>
          <w:rFonts w:ascii="Times New Roman" w:eastAsia="標楷體" w:hAnsi="Times New Roman" w:cs="Times New Roman"/>
          <w:b/>
        </w:rPr>
      </w:pPr>
      <w:r>
        <w:rPr>
          <w:rFonts w:ascii="Times New Roman" w:eastAsia="標楷體" w:hAnsi="Times New Roman" w:cs="Times New Roman" w:hint="eastAsia"/>
          <w:b/>
        </w:rPr>
        <w:t>田野調查</w:t>
      </w:r>
      <w:r w:rsidR="00405669">
        <w:rPr>
          <w:rFonts w:ascii="Times New Roman" w:eastAsia="標楷體" w:hAnsi="Times New Roman" w:cs="Times New Roman" w:hint="eastAsia"/>
          <w:b/>
        </w:rPr>
        <w:t>研究</w:t>
      </w:r>
      <w:r>
        <w:rPr>
          <w:rFonts w:ascii="Times New Roman" w:eastAsia="標楷體" w:hAnsi="Times New Roman" w:cs="Times New Roman" w:hint="eastAsia"/>
          <w:b/>
        </w:rPr>
        <w:t>計畫</w:t>
      </w:r>
      <w:r w:rsidR="00405669">
        <w:rPr>
          <w:rFonts w:ascii="Times New Roman" w:eastAsia="標楷體" w:hAnsi="Times New Roman" w:cs="Times New Roman" w:hint="eastAsia"/>
          <w:b/>
        </w:rPr>
        <w:t>線上投件系統</w:t>
      </w:r>
    </w:p>
    <w:p w:rsidR="00405669" w:rsidRDefault="00405669" w:rsidP="00405669">
      <w:pPr>
        <w:spacing w:beforeLines="50" w:before="180"/>
        <w:ind w:leftChars="200" w:left="600" w:hangingChars="50" w:hanging="120"/>
        <w:rPr>
          <w:rFonts w:ascii="Times New Roman" w:eastAsia="標楷體" w:hAnsi="Times New Roman" w:cs="Times New Roman"/>
        </w:rPr>
      </w:pPr>
      <w:r w:rsidRPr="00795586">
        <w:rPr>
          <w:rFonts w:ascii="Times New Roman" w:eastAsia="標楷體" w:hAnsi="Times New Roman" w:cs="Times New Roman" w:hint="eastAsia"/>
        </w:rPr>
        <w:t>請至</w:t>
      </w:r>
      <w:r>
        <w:rPr>
          <w:rFonts w:ascii="Times New Roman" w:eastAsia="標楷體" w:hAnsi="Times New Roman" w:cs="Times New Roman" w:hint="eastAsia"/>
        </w:rPr>
        <w:t>以下連結填寫資料並依規定上傳相關檔案</w:t>
      </w:r>
      <w:hyperlink r:id="rId8" w:history="1">
        <w:r w:rsidRPr="004905A5">
          <w:rPr>
            <w:rStyle w:val="a4"/>
            <w:rFonts w:ascii="Times New Roman" w:eastAsia="標楷體" w:hAnsi="Times New Roman" w:cs="Times New Roman"/>
          </w:rPr>
          <w:t>https://docs.google.com/forms/d/1ghB8ZxHH5bqL06ErO2pH-T5X17OkY0zAXgrquDxmCm8/edit</w:t>
        </w:r>
      </w:hyperlink>
    </w:p>
    <w:p w:rsidR="00405669" w:rsidRDefault="00405669" w:rsidP="004C2F3A">
      <w:pPr>
        <w:spacing w:beforeLines="50" w:before="180"/>
        <w:ind w:leftChars="300" w:left="720"/>
        <w:rPr>
          <w:rFonts w:ascii="Times New Roman" w:eastAsia="標楷體" w:hAnsi="Times New Roman" w:cs="Times New Roman"/>
        </w:rPr>
      </w:pPr>
      <w:r>
        <w:rPr>
          <w:rFonts w:ascii="Times New Roman" w:eastAsia="標楷體" w:hAnsi="Times New Roman" w:cs="Times New Roman" w:hint="eastAsia"/>
        </w:rPr>
        <w:t>QR Code</w:t>
      </w:r>
      <w:r w:rsidR="00C02B3B">
        <w:rPr>
          <w:rFonts w:ascii="Times New Roman" w:eastAsia="標楷體" w:hAnsi="Times New Roman" w:cs="Times New Roman" w:hint="eastAsia"/>
        </w:rPr>
        <w:t xml:space="preserve">  </w:t>
      </w:r>
    </w:p>
    <w:p w:rsidR="00405669" w:rsidRPr="00795586" w:rsidRDefault="00405669" w:rsidP="004C2F3A">
      <w:pPr>
        <w:spacing w:beforeLines="50" w:before="180"/>
        <w:ind w:leftChars="300" w:left="720"/>
        <w:rPr>
          <w:rFonts w:ascii="Times New Roman" w:eastAsia="標楷體" w:hAnsi="Times New Roman" w:cs="Times New Roman"/>
        </w:rPr>
      </w:pPr>
      <w:r>
        <w:rPr>
          <w:rFonts w:ascii="Times New Roman" w:eastAsia="標楷體" w:hAnsi="Times New Roman" w:cs="Times New Roman"/>
          <w:noProof/>
        </w:rPr>
        <w:drawing>
          <wp:inline distT="0" distB="0" distL="0" distR="0" wp14:anchorId="36FB4512" wp14:editId="60959F8D">
            <wp:extent cx="967740" cy="949248"/>
            <wp:effectExtent l="0" t="0" r="3810" b="381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Hacker.com.png"/>
                    <pic:cNvPicPr/>
                  </pic:nvPicPr>
                  <pic:blipFill rotWithShape="1">
                    <a:blip r:embed="rId9" cstate="print">
                      <a:extLst>
                        <a:ext uri="{28A0092B-C50C-407E-A947-70E740481C1C}">
                          <a14:useLocalDpi xmlns:a14="http://schemas.microsoft.com/office/drawing/2010/main" val="0"/>
                        </a:ext>
                      </a:extLst>
                    </a:blip>
                    <a:srcRect l="6145" t="6704" r="6145" b="13880"/>
                    <a:stretch/>
                  </pic:blipFill>
                  <pic:spPr bwMode="auto">
                    <a:xfrm>
                      <a:off x="0" y="0"/>
                      <a:ext cx="968284" cy="949781"/>
                    </a:xfrm>
                    <a:prstGeom prst="rect">
                      <a:avLst/>
                    </a:prstGeom>
                    <a:ln>
                      <a:noFill/>
                    </a:ln>
                    <a:extLst>
                      <a:ext uri="{53640926-AAD7-44D8-BBD7-CCE9431645EC}">
                        <a14:shadowObscured xmlns:a14="http://schemas.microsoft.com/office/drawing/2010/main"/>
                      </a:ext>
                    </a:extLst>
                  </pic:spPr>
                </pic:pic>
              </a:graphicData>
            </a:graphic>
          </wp:inline>
        </w:drawing>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405669" w:rsidP="00405669">
      <w:pPr>
        <w:spacing w:beforeLines="50" w:before="180"/>
        <w:ind w:left="480"/>
        <w:rPr>
          <w:rFonts w:ascii="Times New Roman" w:eastAsia="標楷體" w:hAnsi="Times New Roman" w:cs="Times New Roman"/>
        </w:rPr>
      </w:pPr>
      <w:r w:rsidRPr="00010765">
        <w:rPr>
          <w:rFonts w:ascii="Times New Roman" w:eastAsia="標楷體" w:hAnsi="Times New Roman" w:cs="Times New Roman"/>
        </w:rPr>
        <w:t xml:space="preserve">國立暨南國際大學國際及兩岸事務處　</w:t>
      </w:r>
      <w:r>
        <w:rPr>
          <w:rFonts w:ascii="Times New Roman" w:eastAsia="標楷體" w:hAnsi="Times New Roman" w:cs="Times New Roman" w:hint="eastAsia"/>
        </w:rPr>
        <w:t>劉智凱先生</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Pr="00010765">
        <w:rPr>
          <w:rFonts w:ascii="Times New Roman" w:eastAsia="標楷體" w:hAnsi="Times New Roman" w:cs="Times New Roman"/>
        </w:rPr>
        <w:t>049-2910960#36</w:t>
      </w:r>
      <w:r w:rsidR="0005489A">
        <w:rPr>
          <w:rFonts w:ascii="Times New Roman" w:eastAsia="標楷體" w:hAnsi="Times New Roman" w:cs="Times New Roman" w:hint="eastAsia"/>
        </w:rPr>
        <w:t>61</w:t>
      </w:r>
      <w:r>
        <w:rPr>
          <w:rFonts w:ascii="Times New Roman" w:eastAsia="標楷體" w:hAnsi="Times New Roman" w:cs="Times New Roman" w:hint="eastAsia"/>
        </w:rPr>
        <w:t>；電子郵件</w:t>
      </w:r>
      <w:r>
        <w:rPr>
          <w:rFonts w:ascii="Times New Roman" w:eastAsia="標楷體" w:hAnsi="Times New Roman" w:cs="Times New Roman" w:hint="eastAsia"/>
        </w:rPr>
        <w:t>zkliu</w:t>
      </w:r>
      <w:r w:rsidRPr="00010765">
        <w:rPr>
          <w:rFonts w:ascii="Times New Roman" w:eastAsia="標楷體" w:hAnsi="Times New Roman" w:cs="Times New Roman"/>
        </w:rPr>
        <w:t>@mail.ncnu.edu.tw</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5230C3" w:rsidP="005230C3">
      <w:pPr>
        <w:widowControl/>
        <w:jc w:val="center"/>
        <w:rPr>
          <w:rFonts w:ascii="Times New Roman" w:eastAsia="標楷體" w:hAnsi="Times New Roman" w:cs="Times New Roman"/>
          <w:b/>
          <w:sz w:val="28"/>
          <w:szCs w:val="28"/>
        </w:rPr>
      </w:pPr>
      <w:r w:rsidRPr="00D32086">
        <w:rPr>
          <w:rFonts w:ascii="Times New Roman" w:eastAsia="標楷體" w:hAnsi="Times New Roman" w:cs="Times New Roman" w:hint="eastAsia"/>
          <w:b/>
          <w:sz w:val="28"/>
          <w:szCs w:val="28"/>
        </w:rPr>
        <w:t>緬甸區域經貿文化及產學資源之田野調查研究計畫學校申請表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05489A" w:rsidP="003C5984">
            <w:pPr>
              <w:widowControl/>
              <w:jc w:val="center"/>
              <w:rPr>
                <w:rFonts w:ascii="Times New Roman" w:eastAsia="標楷體" w:hAnsi="Times New Roman" w:cs="Times New Roman"/>
                <w:sz w:val="32"/>
                <w:szCs w:val="32"/>
              </w:rPr>
            </w:pPr>
            <w:r w:rsidRPr="0005489A">
              <w:rPr>
                <w:rFonts w:ascii="Times New Roman" w:eastAsia="標楷體" w:hAnsi="Times New Roman" w:cs="Times New Roman"/>
                <w:b/>
                <w:sz w:val="32"/>
                <w:szCs w:val="28"/>
              </w:rPr>
              <w:t>緬甸區域經貿文化及產學資源之</w:t>
            </w:r>
            <w:r w:rsidRPr="0005489A">
              <w:rPr>
                <w:rFonts w:ascii="Times New Roman" w:eastAsia="標楷體" w:hAnsi="Times New Roman" w:cs="Times New Roman" w:hint="eastAsia"/>
                <w:b/>
                <w:sz w:val="32"/>
                <w:szCs w:val="28"/>
              </w:rPr>
              <w:t>田野</w:t>
            </w:r>
            <w:r w:rsidRPr="0005489A">
              <w:rPr>
                <w:rFonts w:ascii="Times New Roman" w:eastAsia="標楷體" w:hAnsi="Times New Roman" w:cs="Times New Roman"/>
                <w:b/>
                <w:sz w:val="32"/>
                <w:szCs w:val="28"/>
              </w:rPr>
              <w:t>調查</w:t>
            </w:r>
            <w:r w:rsidRPr="0005489A">
              <w:rPr>
                <w:rFonts w:ascii="Times New Roman" w:eastAsia="標楷體" w:hAnsi="Times New Roman" w:cs="Times New Roman" w:hint="eastAsia"/>
                <w:b/>
                <w:sz w:val="32"/>
                <w:szCs w:val="28"/>
              </w:rPr>
              <w:t>研究計畫</w:t>
            </w:r>
          </w:p>
          <w:p w:rsidR="00312B8C" w:rsidRDefault="00EB47D0" w:rsidP="00374082">
            <w:pPr>
              <w:widowControl/>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Field Research Program of </w:t>
            </w:r>
            <w:r w:rsidR="00161A3B">
              <w:rPr>
                <w:rFonts w:ascii="Times New Roman" w:eastAsia="標楷體" w:hAnsi="Times New Roman" w:cs="Times New Roman" w:hint="eastAsia"/>
                <w:sz w:val="28"/>
                <w:szCs w:val="24"/>
              </w:rPr>
              <w:t xml:space="preserve">Myanmar </w:t>
            </w:r>
          </w:p>
          <w:p w:rsidR="00374082" w:rsidRPr="001B4772" w:rsidRDefault="00573856" w:rsidP="00374082">
            <w:pPr>
              <w:widowControl/>
              <w:jc w:val="center"/>
              <w:rPr>
                <w:rFonts w:ascii="Times New Roman" w:eastAsia="標楷體" w:hAnsi="Times New Roman" w:cs="Times New Roman"/>
                <w:sz w:val="32"/>
                <w:szCs w:val="36"/>
              </w:rPr>
            </w:pPr>
            <w:r w:rsidRPr="00573856">
              <w:rPr>
                <w:rFonts w:ascii="Times New Roman" w:eastAsia="標楷體" w:hAnsi="Times New Roman" w:cs="Times New Roman"/>
                <w:sz w:val="28"/>
                <w:szCs w:val="24"/>
              </w:rPr>
              <w:t>Resource Center for Economic and Industry-Academy Cooperation</w:t>
            </w: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05489A" w:rsidP="003C5984">
            <w:pPr>
              <w:widowControl/>
              <w:jc w:val="center"/>
              <w:rPr>
                <w:rFonts w:ascii="Times New Roman" w:eastAsia="標楷體" w:hAnsi="Times New Roman" w:cs="Times New Roman"/>
                <w:b/>
                <w:sz w:val="32"/>
                <w:szCs w:val="32"/>
              </w:rPr>
            </w:pPr>
            <w:r w:rsidRPr="0005489A">
              <w:rPr>
                <w:rFonts w:ascii="Times New Roman" w:eastAsia="標楷體" w:hAnsi="Times New Roman" w:cs="Times New Roman"/>
                <w:b/>
                <w:sz w:val="32"/>
                <w:szCs w:val="28"/>
              </w:rPr>
              <w:t>緬甸區域經貿文化及產學資源之</w:t>
            </w:r>
            <w:r w:rsidRPr="0005489A">
              <w:rPr>
                <w:rFonts w:ascii="Times New Roman" w:eastAsia="標楷體" w:hAnsi="Times New Roman" w:cs="Times New Roman" w:hint="eastAsia"/>
                <w:b/>
                <w:sz w:val="32"/>
                <w:szCs w:val="28"/>
              </w:rPr>
              <w:t>田野</w:t>
            </w:r>
            <w:r w:rsidRPr="0005489A">
              <w:rPr>
                <w:rFonts w:ascii="Times New Roman" w:eastAsia="標楷體" w:hAnsi="Times New Roman" w:cs="Times New Roman"/>
                <w:b/>
                <w:sz w:val="32"/>
                <w:szCs w:val="28"/>
              </w:rPr>
              <w:t>調查</w:t>
            </w:r>
            <w:r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12B8C" w:rsidRDefault="00EB47D0" w:rsidP="00374082">
            <w:pPr>
              <w:widowControl/>
              <w:jc w:val="center"/>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Field Research Report of </w:t>
            </w:r>
            <w:r w:rsidR="00B06109">
              <w:rPr>
                <w:rFonts w:ascii="Times New Roman" w:eastAsia="標楷體" w:hAnsi="Times New Roman" w:cs="Times New Roman" w:hint="eastAsia"/>
                <w:sz w:val="28"/>
                <w:szCs w:val="24"/>
              </w:rPr>
              <w:t>Myanmar</w:t>
            </w:r>
            <w:r w:rsidR="00B06109" w:rsidRPr="00573856">
              <w:rPr>
                <w:rFonts w:ascii="Times New Roman" w:eastAsia="標楷體" w:hAnsi="Times New Roman" w:cs="Times New Roman"/>
                <w:sz w:val="28"/>
                <w:szCs w:val="24"/>
              </w:rPr>
              <w:t xml:space="preserve"> </w:t>
            </w:r>
          </w:p>
          <w:p w:rsidR="00374082" w:rsidRPr="00670AA2" w:rsidRDefault="00EB47D0" w:rsidP="00374082">
            <w:pPr>
              <w:widowControl/>
              <w:jc w:val="center"/>
              <w:rPr>
                <w:rFonts w:ascii="Times New Roman" w:eastAsia="標楷體" w:hAnsi="Times New Roman" w:cs="Times New Roman"/>
                <w:sz w:val="32"/>
                <w:szCs w:val="36"/>
              </w:rPr>
            </w:pPr>
            <w:r w:rsidRPr="00573856">
              <w:rPr>
                <w:rFonts w:ascii="Times New Roman" w:eastAsia="標楷體" w:hAnsi="Times New Roman" w:cs="Times New Roman"/>
                <w:sz w:val="28"/>
                <w:szCs w:val="24"/>
              </w:rPr>
              <w:t>Resource Center for Economic and Industry-Academy Cooperation</w:t>
            </w: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0E2" w:rsidRDefault="000B60E2" w:rsidP="00374082">
      <w:r>
        <w:separator/>
      </w:r>
    </w:p>
  </w:endnote>
  <w:endnote w:type="continuationSeparator" w:id="0">
    <w:p w:rsidR="000B60E2" w:rsidRDefault="000B60E2"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815219" w:rsidRPr="00815219">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0E2" w:rsidRDefault="000B60E2" w:rsidP="00374082">
      <w:r>
        <w:separator/>
      </w:r>
    </w:p>
  </w:footnote>
  <w:footnote w:type="continuationSeparator" w:id="0">
    <w:p w:rsidR="000B60E2" w:rsidRDefault="000B60E2"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372FA"/>
    <w:rsid w:val="0005489A"/>
    <w:rsid w:val="00056BA4"/>
    <w:rsid w:val="000B4816"/>
    <w:rsid w:val="000B60E2"/>
    <w:rsid w:val="00161A3B"/>
    <w:rsid w:val="001B4772"/>
    <w:rsid w:val="00213C14"/>
    <w:rsid w:val="00237775"/>
    <w:rsid w:val="00312B8C"/>
    <w:rsid w:val="00355A64"/>
    <w:rsid w:val="00374082"/>
    <w:rsid w:val="00405669"/>
    <w:rsid w:val="0047039B"/>
    <w:rsid w:val="004C2F3A"/>
    <w:rsid w:val="005230C3"/>
    <w:rsid w:val="00573856"/>
    <w:rsid w:val="00576517"/>
    <w:rsid w:val="005B3182"/>
    <w:rsid w:val="00643412"/>
    <w:rsid w:val="00663AD3"/>
    <w:rsid w:val="00670AA2"/>
    <w:rsid w:val="006D5699"/>
    <w:rsid w:val="00815219"/>
    <w:rsid w:val="008437C4"/>
    <w:rsid w:val="00852C01"/>
    <w:rsid w:val="00947765"/>
    <w:rsid w:val="009B66E7"/>
    <w:rsid w:val="00AE3694"/>
    <w:rsid w:val="00B06109"/>
    <w:rsid w:val="00B82AD7"/>
    <w:rsid w:val="00BB4504"/>
    <w:rsid w:val="00C02B3B"/>
    <w:rsid w:val="00CC05B9"/>
    <w:rsid w:val="00CC5FBF"/>
    <w:rsid w:val="00CF1A61"/>
    <w:rsid w:val="00D32086"/>
    <w:rsid w:val="00E05923"/>
    <w:rsid w:val="00E200B3"/>
    <w:rsid w:val="00E37774"/>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hB8ZxHH5bqL06ErO2pH-T5X17OkY0zAXgrquDxmCm8/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0F49-3A62-4B14-97AE-0F9079A9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2017-10-10T03:33:00Z</cp:lastPrinted>
  <dcterms:created xsi:type="dcterms:W3CDTF">2017-10-23T08:14:00Z</dcterms:created>
  <dcterms:modified xsi:type="dcterms:W3CDTF">2017-10-23T08:14:00Z</dcterms:modified>
</cp:coreProperties>
</file>