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68" w:rsidRPr="00937D08" w:rsidRDefault="00EB4B1B" w:rsidP="00F72B9B">
      <w:pPr>
        <w:widowControl/>
        <w:jc w:val="center"/>
        <w:rPr>
          <w:b/>
          <w:bCs/>
          <w:kern w:val="0"/>
          <w:sz w:val="28"/>
          <w:szCs w:val="28"/>
        </w:rPr>
      </w:pPr>
      <w:proofErr w:type="gramStart"/>
      <w:r w:rsidRPr="00A9409E">
        <w:rPr>
          <w:b/>
          <w:bCs/>
          <w:kern w:val="0"/>
          <w:sz w:val="28"/>
          <w:szCs w:val="28"/>
        </w:rPr>
        <w:t>10</w:t>
      </w:r>
      <w:r w:rsidR="00692283">
        <w:rPr>
          <w:rFonts w:hint="eastAsia"/>
          <w:b/>
          <w:bCs/>
          <w:kern w:val="0"/>
          <w:sz w:val="28"/>
          <w:szCs w:val="28"/>
        </w:rPr>
        <w:t>4</w:t>
      </w:r>
      <w:proofErr w:type="gramEnd"/>
      <w:r w:rsidR="00195D68" w:rsidRPr="00A9409E">
        <w:rPr>
          <w:b/>
          <w:bCs/>
          <w:kern w:val="0"/>
          <w:sz w:val="28"/>
          <w:szCs w:val="28"/>
        </w:rPr>
        <w:t>年度</w:t>
      </w:r>
      <w:r w:rsidR="00654E3D">
        <w:rPr>
          <w:rFonts w:hint="eastAsia"/>
          <w:b/>
          <w:bCs/>
          <w:kern w:val="0"/>
          <w:sz w:val="28"/>
          <w:szCs w:val="28"/>
        </w:rPr>
        <w:t>科技部</w:t>
      </w:r>
      <w:r w:rsidR="00654E3D" w:rsidRPr="00937D08">
        <w:rPr>
          <w:b/>
          <w:bCs/>
          <w:kern w:val="0"/>
          <w:sz w:val="28"/>
          <w:szCs w:val="28"/>
        </w:rPr>
        <w:t>國際合作</w:t>
      </w:r>
      <w:r w:rsidR="00654E3D">
        <w:rPr>
          <w:rFonts w:ascii="標楷體" w:hAnsi="標楷體" w:hint="eastAsia"/>
          <w:b/>
          <w:bCs/>
          <w:kern w:val="0"/>
          <w:sz w:val="28"/>
          <w:szCs w:val="28"/>
        </w:rPr>
        <w:t>「</w:t>
      </w:r>
      <w:r w:rsidR="00070A65" w:rsidRPr="00937D08">
        <w:rPr>
          <w:b/>
          <w:bCs/>
          <w:kern w:val="0"/>
          <w:sz w:val="28"/>
          <w:szCs w:val="28"/>
        </w:rPr>
        <w:t>歐盟</w:t>
      </w:r>
      <w:r w:rsidR="00654E3D">
        <w:rPr>
          <w:rFonts w:hint="eastAsia"/>
          <w:b/>
          <w:bCs/>
          <w:kern w:val="0"/>
          <w:sz w:val="28"/>
          <w:szCs w:val="28"/>
        </w:rPr>
        <w:t>奈米材料研究計畫</w:t>
      </w:r>
      <w:r w:rsidR="00654E3D">
        <w:rPr>
          <w:rFonts w:ascii="標楷體" w:hAnsi="標楷體" w:hint="eastAsia"/>
          <w:b/>
          <w:bCs/>
          <w:kern w:val="0"/>
          <w:sz w:val="28"/>
          <w:szCs w:val="28"/>
        </w:rPr>
        <w:t>」</w:t>
      </w:r>
      <w:r w:rsidR="00195D68" w:rsidRPr="00937D08">
        <w:rPr>
          <w:b/>
          <w:bCs/>
          <w:kern w:val="0"/>
          <w:sz w:val="28"/>
          <w:szCs w:val="28"/>
        </w:rPr>
        <w:t>徵求公告</w:t>
      </w:r>
    </w:p>
    <w:p w:rsidR="00845207" w:rsidRPr="00845207" w:rsidRDefault="008D62E3" w:rsidP="00DD7F3B">
      <w:pPr>
        <w:pStyle w:val="ab"/>
        <w:numPr>
          <w:ilvl w:val="0"/>
          <w:numId w:val="4"/>
        </w:numPr>
        <w:adjustRightInd w:val="0"/>
        <w:snapToGrid w:val="0"/>
        <w:spacing w:before="100" w:beforeAutospacing="1" w:afterLines="100" w:after="360"/>
        <w:ind w:leftChars="0" w:left="566" w:hangingChars="236" w:hanging="566"/>
        <w:jc w:val="both"/>
      </w:pPr>
      <w:r w:rsidRPr="00F314CF">
        <w:rPr>
          <w:rFonts w:hint="eastAsia"/>
        </w:rPr>
        <w:t>目的</w:t>
      </w:r>
      <w:r w:rsidR="00A37D38" w:rsidRPr="00F314CF">
        <w:rPr>
          <w:rFonts w:hint="eastAsia"/>
        </w:rPr>
        <w:t>：</w:t>
      </w:r>
      <w:r w:rsidR="00372F0B" w:rsidRPr="001D3FE6">
        <w:rPr>
          <w:rFonts w:hint="eastAsia"/>
        </w:rPr>
        <w:t>為提升跨領域之</w:t>
      </w:r>
      <w:r w:rsidR="00654E3D">
        <w:rPr>
          <w:rFonts w:hint="eastAsia"/>
        </w:rPr>
        <w:t>奈米材料</w:t>
      </w:r>
      <w:r w:rsidR="00372F0B" w:rsidRPr="001D3FE6">
        <w:rPr>
          <w:rFonts w:hint="eastAsia"/>
        </w:rPr>
        <w:t>科技整合</w:t>
      </w:r>
      <w:r w:rsidR="00916E9A" w:rsidRPr="001D3FE6">
        <w:rPr>
          <w:rFonts w:hint="eastAsia"/>
        </w:rPr>
        <w:t>及</w:t>
      </w:r>
      <w:r w:rsidR="00372F0B" w:rsidRPr="001D3FE6">
        <w:rPr>
          <w:rFonts w:hint="eastAsia"/>
        </w:rPr>
        <w:t>國際</w:t>
      </w:r>
      <w:r w:rsidR="00916E9A" w:rsidRPr="001D3FE6">
        <w:rPr>
          <w:rFonts w:hint="eastAsia"/>
        </w:rPr>
        <w:t>能見度，</w:t>
      </w:r>
      <w:r w:rsidR="00916E9A" w:rsidRPr="00A9409E">
        <w:t>10</w:t>
      </w:r>
      <w:r w:rsidR="00692283">
        <w:rPr>
          <w:rFonts w:hint="eastAsia"/>
        </w:rPr>
        <w:t>4</w:t>
      </w:r>
      <w:r w:rsidR="00916E9A" w:rsidRPr="00845207">
        <w:rPr>
          <w:rFonts w:hAnsi="標楷體"/>
        </w:rPr>
        <w:t>年公開徵求</w:t>
      </w:r>
      <w:r w:rsidR="00916E9A" w:rsidRPr="00845207">
        <w:rPr>
          <w:rFonts w:hAnsi="標楷體" w:hint="eastAsia"/>
        </w:rPr>
        <w:t>國際合作</w:t>
      </w:r>
      <w:r w:rsidR="00654E3D" w:rsidRPr="00845207">
        <w:rPr>
          <w:rFonts w:hAnsi="標楷體" w:hint="eastAsia"/>
        </w:rPr>
        <w:t>歐盟</w:t>
      </w:r>
      <w:r w:rsidR="00654E3D">
        <w:rPr>
          <w:rFonts w:hAnsi="標楷體" w:hint="eastAsia"/>
        </w:rPr>
        <w:t>奈米材料研究</w:t>
      </w:r>
      <w:r w:rsidR="00916E9A" w:rsidRPr="00845207">
        <w:rPr>
          <w:rFonts w:hAnsi="標楷體" w:hint="eastAsia"/>
        </w:rPr>
        <w:t>計畫，</w:t>
      </w:r>
      <w:r w:rsidR="00916E9A" w:rsidRPr="001D3FE6">
        <w:rPr>
          <w:rFonts w:hint="eastAsia"/>
        </w:rPr>
        <w:t>期能建立跨國研究案</w:t>
      </w:r>
      <w:r w:rsidR="00372F0B" w:rsidRPr="001D3FE6">
        <w:rPr>
          <w:rFonts w:hint="eastAsia"/>
        </w:rPr>
        <w:t>合作</w:t>
      </w:r>
      <w:r w:rsidR="00916E9A" w:rsidRPr="001D3FE6">
        <w:rPr>
          <w:rFonts w:hint="eastAsia"/>
        </w:rPr>
        <w:t>關係及溝通平台</w:t>
      </w:r>
      <w:r w:rsidR="00654E3D">
        <w:rPr>
          <w:rFonts w:hint="eastAsia"/>
        </w:rPr>
        <w:t>，提升我國奈米科技研</w:t>
      </w:r>
      <w:r w:rsidR="005B2407">
        <w:rPr>
          <w:rFonts w:hint="eastAsia"/>
        </w:rPr>
        <w:t>發</w:t>
      </w:r>
      <w:r w:rsidR="00654E3D">
        <w:rPr>
          <w:rFonts w:hint="eastAsia"/>
        </w:rPr>
        <w:t>能量</w:t>
      </w:r>
      <w:r w:rsidR="00916E9A" w:rsidRPr="00845207">
        <w:rPr>
          <w:rFonts w:ascii="新細明體" w:hAnsi="新細明體" w:hint="eastAsia"/>
        </w:rPr>
        <w:t>。</w:t>
      </w:r>
    </w:p>
    <w:p w:rsidR="006A719A" w:rsidRPr="00F314CF" w:rsidRDefault="006A719A" w:rsidP="00DD7F3B">
      <w:pPr>
        <w:pStyle w:val="ab"/>
        <w:numPr>
          <w:ilvl w:val="0"/>
          <w:numId w:val="4"/>
        </w:numPr>
        <w:adjustRightInd w:val="0"/>
        <w:spacing w:before="100" w:beforeAutospacing="1" w:after="100" w:afterAutospacing="1"/>
        <w:ind w:leftChars="0" w:left="566" w:hangingChars="236" w:hanging="566"/>
      </w:pPr>
      <w:r w:rsidRPr="00F314CF">
        <w:t>申請機構。</w:t>
      </w:r>
    </w:p>
    <w:p w:rsidR="00C42A35" w:rsidRPr="00845207" w:rsidRDefault="006A719A" w:rsidP="00DD7F3B">
      <w:pPr>
        <w:pStyle w:val="a3"/>
        <w:numPr>
          <w:ilvl w:val="1"/>
          <w:numId w:val="3"/>
        </w:numPr>
        <w:ind w:leftChars="98" w:left="847" w:hangingChars="255" w:hanging="612"/>
        <w:jc w:val="both"/>
        <w:rPr>
          <w:rFonts w:ascii="Times New Roman" w:eastAsia="標楷體" w:hAnsi="Times New Roman"/>
          <w:sz w:val="24"/>
        </w:rPr>
      </w:pPr>
      <w:proofErr w:type="spellStart"/>
      <w:r w:rsidRPr="00845207">
        <w:rPr>
          <w:rFonts w:ascii="Times New Roman" w:eastAsia="標楷體" w:hAnsi="Times New Roman"/>
          <w:sz w:val="24"/>
        </w:rPr>
        <w:t>公私立大專校院、公立研究機構</w:t>
      </w:r>
      <w:proofErr w:type="spellEnd"/>
      <w:r w:rsidR="00883E17" w:rsidRPr="00845207">
        <w:rPr>
          <w:rFonts w:ascii="Times New Roman" w:eastAsia="標楷體" w:hAnsi="Times New Roman"/>
          <w:sz w:val="24"/>
          <w:lang w:eastAsia="zh-TW"/>
        </w:rPr>
        <w:t>。</w:t>
      </w:r>
    </w:p>
    <w:p w:rsidR="006A719A" w:rsidRPr="00845207" w:rsidRDefault="006A719A" w:rsidP="00DD7F3B">
      <w:pPr>
        <w:pStyle w:val="a3"/>
        <w:numPr>
          <w:ilvl w:val="1"/>
          <w:numId w:val="3"/>
        </w:numPr>
        <w:ind w:leftChars="98" w:left="847" w:hangingChars="255" w:hanging="612"/>
        <w:jc w:val="both"/>
        <w:rPr>
          <w:rFonts w:ascii="Times New Roman" w:eastAsia="標楷體" w:hAnsi="Times New Roman"/>
          <w:sz w:val="24"/>
        </w:rPr>
      </w:pPr>
      <w:proofErr w:type="spellStart"/>
      <w:r w:rsidRPr="00845207">
        <w:rPr>
          <w:rFonts w:ascii="Times New Roman" w:eastAsia="標楷體" w:hAnsi="Times New Roman"/>
          <w:sz w:val="24"/>
        </w:rPr>
        <w:t>經</w:t>
      </w:r>
      <w:r w:rsidR="008639AD">
        <w:rPr>
          <w:rFonts w:ascii="Times New Roman" w:eastAsia="標楷體" w:hAnsi="Times New Roman" w:hint="eastAsia"/>
          <w:sz w:val="24"/>
          <w:lang w:eastAsia="zh-TW"/>
        </w:rPr>
        <w:t>科技部</w:t>
      </w:r>
      <w:r w:rsidRPr="00845207">
        <w:rPr>
          <w:rFonts w:ascii="Times New Roman" w:eastAsia="標楷體" w:hAnsi="Times New Roman"/>
          <w:sz w:val="24"/>
        </w:rPr>
        <w:t>認可之財團法人學術研究機構、醫療社團法人學術研究機構</w:t>
      </w:r>
      <w:proofErr w:type="spellEnd"/>
      <w:r w:rsidRPr="00845207">
        <w:rPr>
          <w:rFonts w:ascii="Times New Roman" w:eastAsia="標楷體" w:hAnsi="Times New Roman"/>
          <w:sz w:val="24"/>
        </w:rPr>
        <w:t>。</w:t>
      </w:r>
    </w:p>
    <w:p w:rsidR="00E24273" w:rsidRPr="00F314CF" w:rsidRDefault="00654E3D" w:rsidP="00DD7F3B">
      <w:pPr>
        <w:pStyle w:val="ab"/>
        <w:numPr>
          <w:ilvl w:val="0"/>
          <w:numId w:val="4"/>
        </w:numPr>
        <w:adjustRightInd w:val="0"/>
        <w:spacing w:before="100" w:beforeAutospacing="1" w:after="100" w:afterAutospacing="1" w:line="360" w:lineRule="auto"/>
        <w:ind w:leftChars="0" w:left="566" w:hangingChars="236" w:hanging="566"/>
        <w:jc w:val="both"/>
      </w:pPr>
      <w:r>
        <w:rPr>
          <w:rFonts w:hint="eastAsia"/>
        </w:rPr>
        <w:t>申請</w:t>
      </w:r>
      <w:r w:rsidR="00845207">
        <w:rPr>
          <w:rFonts w:hint="eastAsia"/>
        </w:rPr>
        <w:t>對象：</w:t>
      </w:r>
      <w:r w:rsidR="00734490" w:rsidRPr="00F314CF">
        <w:t>計畫主持人</w:t>
      </w:r>
      <w:r w:rsidR="003B7523" w:rsidRPr="00F314CF">
        <w:t>需符合「</w:t>
      </w:r>
      <w:r w:rsidR="008639AD">
        <w:rPr>
          <w:rFonts w:hint="eastAsia"/>
        </w:rPr>
        <w:t>科技部</w:t>
      </w:r>
      <w:hyperlink r:id="rId9" w:history="1">
        <w:r w:rsidR="003B7523" w:rsidRPr="00F314CF">
          <w:t>補助專題研究計畫作業要點</w:t>
        </w:r>
      </w:hyperlink>
      <w:r w:rsidR="00DF13BB" w:rsidRPr="00F314CF">
        <w:t>」</w:t>
      </w:r>
      <w:r w:rsidR="00DF13BB" w:rsidRPr="00F314CF">
        <w:rPr>
          <w:rFonts w:hint="eastAsia"/>
        </w:rPr>
        <w:t>者。</w:t>
      </w:r>
    </w:p>
    <w:p w:rsidR="00D932E5" w:rsidRPr="005946CF" w:rsidRDefault="00654E3D" w:rsidP="00DD7F3B">
      <w:pPr>
        <w:pStyle w:val="ab"/>
        <w:numPr>
          <w:ilvl w:val="0"/>
          <w:numId w:val="4"/>
        </w:numPr>
        <w:adjustRightInd w:val="0"/>
        <w:spacing w:before="100" w:beforeAutospacing="1" w:line="360" w:lineRule="auto"/>
        <w:ind w:leftChars="0" w:left="566" w:hangingChars="236" w:hanging="566"/>
      </w:pPr>
      <w:r>
        <w:rPr>
          <w:rFonts w:hint="eastAsia"/>
        </w:rPr>
        <w:t>申請</w:t>
      </w:r>
      <w:r w:rsidR="00D932E5" w:rsidRPr="005946CF">
        <w:t>計畫重點說明</w:t>
      </w:r>
    </w:p>
    <w:p w:rsidR="003C0A8E" w:rsidRPr="005946CF" w:rsidRDefault="00F47D22" w:rsidP="00887F19">
      <w:pPr>
        <w:adjustRightInd w:val="0"/>
        <w:ind w:left="482" w:firstLine="85"/>
        <w:jc w:val="both"/>
      </w:pPr>
      <w:r w:rsidRPr="005946CF">
        <w:t>本次徵求</w:t>
      </w:r>
      <w:r w:rsidR="00654E3D">
        <w:rPr>
          <w:rFonts w:hint="eastAsia"/>
        </w:rPr>
        <w:t>之六</w:t>
      </w:r>
      <w:r w:rsidRPr="005946CF">
        <w:t>項</w:t>
      </w:r>
      <w:r w:rsidR="00654E3D">
        <w:rPr>
          <w:rFonts w:hint="eastAsia"/>
        </w:rPr>
        <w:t>重點如下，詳</w:t>
      </w:r>
      <w:r w:rsidR="00887F19">
        <w:rPr>
          <w:rFonts w:hint="eastAsia"/>
        </w:rPr>
        <w:t>細請</w:t>
      </w:r>
      <w:r w:rsidR="00654E3D">
        <w:rPr>
          <w:rFonts w:hint="eastAsia"/>
        </w:rPr>
        <w:t>見</w:t>
      </w:r>
      <w:hyperlink r:id="rId10" w:history="1">
        <w:r w:rsidR="00887F19" w:rsidRPr="00F62D17">
          <w:rPr>
            <w:rStyle w:val="a9"/>
          </w:rPr>
          <w:t>http://www.m-era.net/joint-call-2014</w:t>
        </w:r>
      </w:hyperlink>
      <w:r w:rsidRPr="005946CF">
        <w:t>。</w:t>
      </w:r>
    </w:p>
    <w:p w:rsidR="00883E17" w:rsidRPr="00F41439" w:rsidRDefault="00883E17" w:rsidP="00845207">
      <w:pPr>
        <w:spacing w:before="100" w:beforeAutospacing="1" w:after="100" w:afterAutospacing="1"/>
        <w:jc w:val="both"/>
        <w:rPr>
          <w:b/>
        </w:rPr>
      </w:pPr>
      <w:r w:rsidRPr="00F41439">
        <w:rPr>
          <w:rFonts w:hint="eastAsia"/>
          <w:b/>
        </w:rPr>
        <w:t>(</w:t>
      </w:r>
      <w:r w:rsidRPr="00F41439">
        <w:rPr>
          <w:rFonts w:hint="eastAsia"/>
          <w:b/>
        </w:rPr>
        <w:t>一</w:t>
      </w:r>
      <w:proofErr w:type="gramStart"/>
      <w:r w:rsidRPr="00F41439">
        <w:rPr>
          <w:rFonts w:hint="eastAsia"/>
          <w:b/>
        </w:rPr>
        <w:t>）</w:t>
      </w:r>
      <w:proofErr w:type="gramEnd"/>
      <w:r w:rsidRPr="00845207">
        <w:rPr>
          <w:b/>
        </w:rPr>
        <w:t>材料整合計算工程</w:t>
      </w:r>
      <w:r w:rsidRPr="00F41439">
        <w:rPr>
          <w:rFonts w:hint="eastAsia"/>
          <w:b/>
        </w:rPr>
        <w:t>（</w:t>
      </w:r>
      <w:r w:rsidRPr="00F41439">
        <w:rPr>
          <w:b/>
        </w:rPr>
        <w:t>Integrated Computational Materials Engineering</w:t>
      </w:r>
      <w:r w:rsidRPr="00F41439">
        <w:rPr>
          <w:rFonts w:hint="eastAsia"/>
          <w:b/>
        </w:rPr>
        <w:t>）</w:t>
      </w:r>
    </w:p>
    <w:p w:rsidR="00252EF3" w:rsidRPr="00252EF3" w:rsidRDefault="00252EF3" w:rsidP="00252EF3">
      <w:pPr>
        <w:ind w:left="709"/>
        <w:rPr>
          <w:b/>
          <w:lang w:val="en-GB"/>
        </w:rPr>
      </w:pPr>
      <w:r>
        <w:rPr>
          <w:rFonts w:hint="eastAsia"/>
          <w:b/>
          <w:lang w:val="en-GB"/>
        </w:rPr>
        <w:t xml:space="preserve">1. </w:t>
      </w:r>
      <w:r w:rsidRPr="00252EF3">
        <w:rPr>
          <w:b/>
          <w:lang w:val="en-GB"/>
        </w:rPr>
        <w:t>Technical content/scope</w:t>
      </w:r>
    </w:p>
    <w:p w:rsidR="00252EF3" w:rsidRPr="00252EF3" w:rsidRDefault="00252EF3" w:rsidP="00252EF3">
      <w:pPr>
        <w:ind w:left="709"/>
        <w:rPr>
          <w:sz w:val="22"/>
          <w:szCs w:val="22"/>
          <w:lang w:val="en-GB"/>
        </w:rPr>
      </w:pPr>
      <w:r w:rsidRPr="00252EF3">
        <w:rPr>
          <w:sz w:val="22"/>
          <w:szCs w:val="22"/>
          <w:lang w:val="en-GB"/>
        </w:rPr>
        <w:t xml:space="preserve">Current developments in combinatorial synthesis and multi-scale modelling together with high throughput or multi-scale experimentation allow for a faster development of materials targeted to both enhanced performance and </w:t>
      </w:r>
      <w:proofErr w:type="spellStart"/>
      <w:r w:rsidRPr="00252EF3">
        <w:rPr>
          <w:sz w:val="22"/>
          <w:szCs w:val="22"/>
          <w:lang w:val="en-GB"/>
        </w:rPr>
        <w:t>processability</w:t>
      </w:r>
      <w:proofErr w:type="spellEnd"/>
      <w:r w:rsidRPr="00252EF3">
        <w:rPr>
          <w:sz w:val="22"/>
          <w:szCs w:val="22"/>
          <w:lang w:val="en-GB"/>
        </w:rPr>
        <w:t>. A skilful combination of these approaches in terms of Integrated Computational Materials Engineering will lead to significant improvements in our ability to design new materials or to assess materials performance already in the product development stage.</w:t>
      </w:r>
    </w:p>
    <w:p w:rsidR="00252EF3" w:rsidRPr="00252EF3" w:rsidRDefault="00252EF3" w:rsidP="00252EF3">
      <w:pPr>
        <w:ind w:left="709"/>
        <w:rPr>
          <w:sz w:val="22"/>
          <w:szCs w:val="22"/>
          <w:lang w:val="en-GB"/>
        </w:rPr>
      </w:pPr>
    </w:p>
    <w:p w:rsidR="00252EF3" w:rsidRPr="00252EF3" w:rsidRDefault="00252EF3" w:rsidP="00252EF3">
      <w:pPr>
        <w:ind w:left="709"/>
        <w:rPr>
          <w:sz w:val="22"/>
          <w:szCs w:val="22"/>
          <w:lang w:val="en-GB"/>
        </w:rPr>
      </w:pPr>
      <w:r w:rsidRPr="00252EF3">
        <w:rPr>
          <w:sz w:val="22"/>
          <w:szCs w:val="22"/>
          <w:lang w:val="en-GB"/>
        </w:rPr>
        <w:t>The proposals should focus on either of the following model-driven schemes:</w:t>
      </w:r>
    </w:p>
    <w:p w:rsidR="00252EF3" w:rsidRPr="00252EF3" w:rsidRDefault="00252EF3" w:rsidP="00DD7F3B">
      <w:pPr>
        <w:widowControl/>
        <w:numPr>
          <w:ilvl w:val="0"/>
          <w:numId w:val="5"/>
        </w:numPr>
        <w:rPr>
          <w:sz w:val="22"/>
          <w:szCs w:val="22"/>
          <w:lang w:val="en-GB"/>
        </w:rPr>
      </w:pPr>
      <w:r w:rsidRPr="00252EF3">
        <w:rPr>
          <w:sz w:val="22"/>
          <w:szCs w:val="22"/>
          <w:lang w:val="en-GB"/>
        </w:rPr>
        <w:t xml:space="preserve">Design of new (compositionally defined) materials with target properties, </w:t>
      </w:r>
      <w:r w:rsidRPr="00252EF3">
        <w:rPr>
          <w:sz w:val="22"/>
          <w:szCs w:val="22"/>
          <w:u w:val="single"/>
          <w:lang w:val="en-GB"/>
        </w:rPr>
        <w:t>OR</w:t>
      </w:r>
    </w:p>
    <w:p w:rsidR="00252EF3" w:rsidRPr="00252EF3" w:rsidRDefault="00252EF3" w:rsidP="00DD7F3B">
      <w:pPr>
        <w:widowControl/>
        <w:numPr>
          <w:ilvl w:val="0"/>
          <w:numId w:val="5"/>
        </w:numPr>
        <w:rPr>
          <w:sz w:val="22"/>
          <w:szCs w:val="22"/>
          <w:lang w:val="en-GB"/>
        </w:rPr>
      </w:pPr>
      <w:r w:rsidRPr="00252EF3">
        <w:rPr>
          <w:sz w:val="22"/>
          <w:szCs w:val="22"/>
          <w:lang w:val="en-GB"/>
        </w:rPr>
        <w:t>Tailoring microstructural changes of known materials (e.g., during processing) to obtain improved properties.</w:t>
      </w:r>
    </w:p>
    <w:p w:rsidR="00252EF3" w:rsidRPr="00252EF3" w:rsidRDefault="00252EF3" w:rsidP="00252EF3">
      <w:pPr>
        <w:ind w:left="709"/>
        <w:rPr>
          <w:sz w:val="22"/>
          <w:szCs w:val="22"/>
          <w:lang w:val="en-GB"/>
        </w:rPr>
      </w:pPr>
      <w:r w:rsidRPr="00252EF3">
        <w:rPr>
          <w:sz w:val="22"/>
          <w:szCs w:val="22"/>
          <w:lang w:val="en-GB"/>
        </w:rPr>
        <w:t xml:space="preserve">The proposals should address </w:t>
      </w:r>
      <w:r w:rsidRPr="00252EF3">
        <w:rPr>
          <w:sz w:val="22"/>
          <w:szCs w:val="22"/>
          <w:u w:val="single"/>
          <w:lang w:val="en-GB"/>
        </w:rPr>
        <w:t>each</w:t>
      </w:r>
      <w:r w:rsidRPr="00252EF3">
        <w:rPr>
          <w:sz w:val="22"/>
          <w:szCs w:val="22"/>
          <w:lang w:val="en-GB"/>
        </w:rPr>
        <w:t xml:space="preserve"> of the following items:</w:t>
      </w:r>
    </w:p>
    <w:p w:rsidR="00252EF3" w:rsidRPr="00252EF3" w:rsidRDefault="00252EF3" w:rsidP="00DD7F3B">
      <w:pPr>
        <w:widowControl/>
        <w:numPr>
          <w:ilvl w:val="0"/>
          <w:numId w:val="6"/>
        </w:numPr>
        <w:rPr>
          <w:b/>
          <w:sz w:val="22"/>
          <w:szCs w:val="22"/>
          <w:lang w:val="en-GB"/>
        </w:rPr>
      </w:pPr>
      <w:r w:rsidRPr="00252EF3">
        <w:rPr>
          <w:b/>
          <w:sz w:val="22"/>
          <w:szCs w:val="22"/>
          <w:lang w:val="en-GB"/>
        </w:rPr>
        <w:t xml:space="preserve">Constitutive modelling and computational simulation: </w:t>
      </w:r>
    </w:p>
    <w:p w:rsidR="00252EF3" w:rsidRPr="00252EF3" w:rsidRDefault="00252EF3" w:rsidP="00252EF3">
      <w:pPr>
        <w:ind w:left="709"/>
        <w:rPr>
          <w:sz w:val="22"/>
          <w:szCs w:val="22"/>
          <w:lang w:val="en-GB"/>
        </w:rPr>
      </w:pPr>
      <w:r w:rsidRPr="00252EF3">
        <w:rPr>
          <w:sz w:val="22"/>
          <w:szCs w:val="22"/>
          <w:lang w:val="en-GB"/>
        </w:rPr>
        <w:t xml:space="preserve">Use of materials physics-based design principles in a computational environment </w:t>
      </w:r>
    </w:p>
    <w:p w:rsidR="00252EF3" w:rsidRPr="00252EF3" w:rsidRDefault="00252EF3" w:rsidP="00DD7F3B">
      <w:pPr>
        <w:widowControl/>
        <w:numPr>
          <w:ilvl w:val="0"/>
          <w:numId w:val="6"/>
        </w:numPr>
        <w:rPr>
          <w:sz w:val="22"/>
          <w:szCs w:val="22"/>
          <w:lang w:val="en-GB"/>
        </w:rPr>
      </w:pPr>
      <w:r w:rsidRPr="00252EF3">
        <w:rPr>
          <w:b/>
          <w:sz w:val="22"/>
          <w:szCs w:val="22"/>
          <w:lang w:val="en-GB"/>
        </w:rPr>
        <w:t>Target properties:</w:t>
      </w:r>
      <w:r w:rsidRPr="00252EF3">
        <w:rPr>
          <w:sz w:val="22"/>
          <w:szCs w:val="22"/>
          <w:lang w:val="en-GB"/>
        </w:rPr>
        <w:t xml:space="preserve"> </w:t>
      </w:r>
    </w:p>
    <w:p w:rsidR="00252EF3" w:rsidRPr="00252EF3" w:rsidRDefault="00252EF3" w:rsidP="00252EF3">
      <w:pPr>
        <w:ind w:left="709"/>
        <w:rPr>
          <w:sz w:val="22"/>
          <w:szCs w:val="22"/>
          <w:lang w:val="en-GB"/>
        </w:rPr>
      </w:pPr>
      <w:r w:rsidRPr="00252EF3">
        <w:rPr>
          <w:sz w:val="22"/>
          <w:szCs w:val="22"/>
          <w:lang w:val="en-GB"/>
        </w:rPr>
        <w:t>Specification of materials properties to be reached</w:t>
      </w:r>
    </w:p>
    <w:p w:rsidR="00252EF3" w:rsidRPr="00252EF3" w:rsidRDefault="00252EF3" w:rsidP="00DD7F3B">
      <w:pPr>
        <w:widowControl/>
        <w:numPr>
          <w:ilvl w:val="0"/>
          <w:numId w:val="6"/>
        </w:numPr>
        <w:rPr>
          <w:sz w:val="22"/>
          <w:szCs w:val="22"/>
          <w:lang w:val="en-GB"/>
        </w:rPr>
      </w:pPr>
      <w:r w:rsidRPr="00252EF3">
        <w:rPr>
          <w:b/>
          <w:sz w:val="22"/>
          <w:szCs w:val="22"/>
          <w:lang w:val="en-GB"/>
        </w:rPr>
        <w:t>Experimental validation:</w:t>
      </w:r>
    </w:p>
    <w:p w:rsidR="00252EF3" w:rsidRPr="00252EF3" w:rsidRDefault="00252EF3" w:rsidP="00DD7F3B">
      <w:pPr>
        <w:widowControl/>
        <w:numPr>
          <w:ilvl w:val="1"/>
          <w:numId w:val="6"/>
        </w:numPr>
        <w:rPr>
          <w:sz w:val="22"/>
          <w:szCs w:val="22"/>
          <w:lang w:val="en-GB"/>
        </w:rPr>
      </w:pPr>
      <w:proofErr w:type="gramStart"/>
      <w:r w:rsidRPr="00252EF3">
        <w:rPr>
          <w:sz w:val="22"/>
          <w:szCs w:val="22"/>
          <w:lang w:val="en-GB"/>
        </w:rPr>
        <w:t>in</w:t>
      </w:r>
      <w:proofErr w:type="gramEnd"/>
      <w:r w:rsidRPr="00252EF3">
        <w:rPr>
          <w:sz w:val="22"/>
          <w:szCs w:val="22"/>
          <w:lang w:val="en-GB"/>
        </w:rPr>
        <w:t xml:space="preserve"> case of scheme a): Validation of the predicted properties at appropriate length scales, based on the model constituents. </w:t>
      </w:r>
    </w:p>
    <w:p w:rsidR="00252EF3" w:rsidRPr="00252EF3" w:rsidRDefault="00252EF3" w:rsidP="00DD7F3B">
      <w:pPr>
        <w:widowControl/>
        <w:numPr>
          <w:ilvl w:val="1"/>
          <w:numId w:val="6"/>
        </w:numPr>
        <w:rPr>
          <w:sz w:val="22"/>
          <w:szCs w:val="22"/>
          <w:lang w:val="en-GB"/>
        </w:rPr>
      </w:pPr>
      <w:proofErr w:type="gramStart"/>
      <w:r w:rsidRPr="00252EF3">
        <w:rPr>
          <w:sz w:val="22"/>
          <w:szCs w:val="22"/>
          <w:lang w:val="en-GB"/>
        </w:rPr>
        <w:t>in</w:t>
      </w:r>
      <w:proofErr w:type="gramEnd"/>
      <w:r w:rsidRPr="00252EF3">
        <w:rPr>
          <w:sz w:val="22"/>
          <w:szCs w:val="22"/>
          <w:lang w:val="en-GB"/>
        </w:rPr>
        <w:t xml:space="preserve"> case of scheme b): Validation of the expected performance in manufacturing and processing.</w:t>
      </w:r>
    </w:p>
    <w:p w:rsidR="00252EF3" w:rsidRPr="00252EF3" w:rsidRDefault="00252EF3" w:rsidP="00252EF3">
      <w:pPr>
        <w:ind w:left="709"/>
        <w:rPr>
          <w:sz w:val="22"/>
          <w:szCs w:val="22"/>
          <w:lang w:val="en-GB"/>
        </w:rPr>
      </w:pPr>
    </w:p>
    <w:p w:rsidR="00252EF3" w:rsidRPr="00252EF3" w:rsidRDefault="00252EF3" w:rsidP="00252EF3">
      <w:pPr>
        <w:ind w:left="709"/>
        <w:rPr>
          <w:sz w:val="22"/>
          <w:szCs w:val="22"/>
          <w:lang w:val="en-GB"/>
        </w:rPr>
      </w:pPr>
      <w:r w:rsidRPr="00252EF3">
        <w:rPr>
          <w:sz w:val="22"/>
          <w:szCs w:val="22"/>
          <w:lang w:val="en-GB"/>
        </w:rPr>
        <w:t>The proposals should clearly present the approach taken for coupling these items.</w:t>
      </w:r>
    </w:p>
    <w:p w:rsidR="00252EF3" w:rsidRPr="00060498" w:rsidRDefault="00252EF3" w:rsidP="00252EF3">
      <w:pPr>
        <w:ind w:left="709"/>
        <w:rPr>
          <w:rFonts w:ascii="Trebuchet MS" w:hAnsi="Trebuchet MS"/>
          <w:sz w:val="22"/>
          <w:szCs w:val="22"/>
          <w:lang w:val="en-GB"/>
        </w:rPr>
      </w:pPr>
    </w:p>
    <w:p w:rsidR="00252EF3" w:rsidRPr="00252EF3" w:rsidRDefault="00252EF3" w:rsidP="00252EF3">
      <w:pPr>
        <w:ind w:left="709"/>
        <w:rPr>
          <w:b/>
          <w:sz w:val="22"/>
          <w:szCs w:val="22"/>
          <w:lang w:val="en-GB"/>
        </w:rPr>
      </w:pPr>
      <w:r w:rsidRPr="00252EF3">
        <w:rPr>
          <w:b/>
          <w:sz w:val="22"/>
          <w:szCs w:val="22"/>
          <w:lang w:val="en-GB"/>
        </w:rPr>
        <w:t>2. Expected impact</w:t>
      </w:r>
    </w:p>
    <w:p w:rsidR="00252EF3" w:rsidRPr="00252EF3" w:rsidRDefault="00252EF3" w:rsidP="00DD7F3B">
      <w:pPr>
        <w:widowControl/>
        <w:numPr>
          <w:ilvl w:val="0"/>
          <w:numId w:val="7"/>
        </w:numPr>
        <w:rPr>
          <w:sz w:val="22"/>
          <w:szCs w:val="22"/>
          <w:lang w:val="en-GB"/>
        </w:rPr>
      </w:pPr>
      <w:r w:rsidRPr="00252EF3">
        <w:rPr>
          <w:sz w:val="22"/>
          <w:szCs w:val="22"/>
          <w:lang w:val="en-GB"/>
        </w:rPr>
        <w:t>Improved predictive power of Integrated Computational Materials Engineering.</w:t>
      </w:r>
    </w:p>
    <w:p w:rsidR="00252EF3" w:rsidRPr="00252EF3" w:rsidRDefault="00252EF3" w:rsidP="00DD7F3B">
      <w:pPr>
        <w:widowControl/>
        <w:numPr>
          <w:ilvl w:val="0"/>
          <w:numId w:val="7"/>
        </w:numPr>
        <w:rPr>
          <w:sz w:val="22"/>
          <w:szCs w:val="22"/>
          <w:lang w:val="en-GB"/>
        </w:rPr>
      </w:pPr>
      <w:r w:rsidRPr="00252EF3">
        <w:rPr>
          <w:sz w:val="22"/>
          <w:szCs w:val="22"/>
          <w:lang w:val="en-GB"/>
        </w:rPr>
        <w:t>Establishment of well-targeted materials design and processing concepts.</w:t>
      </w:r>
    </w:p>
    <w:p w:rsidR="00252EF3" w:rsidRPr="00252EF3" w:rsidRDefault="00252EF3" w:rsidP="00DD7F3B">
      <w:pPr>
        <w:widowControl/>
        <w:numPr>
          <w:ilvl w:val="0"/>
          <w:numId w:val="7"/>
        </w:numPr>
        <w:rPr>
          <w:sz w:val="22"/>
          <w:szCs w:val="22"/>
          <w:lang w:val="en-GB"/>
        </w:rPr>
      </w:pPr>
      <w:r w:rsidRPr="00252EF3">
        <w:rPr>
          <w:sz w:val="22"/>
          <w:szCs w:val="22"/>
          <w:lang w:val="en-GB"/>
        </w:rPr>
        <w:t>Building and strengthening a common European research community in the area of Integrated Computational Materials Engineering.</w:t>
      </w:r>
    </w:p>
    <w:p w:rsidR="00252EF3" w:rsidRPr="00252EF3" w:rsidRDefault="00252EF3" w:rsidP="00DD7F3B">
      <w:pPr>
        <w:widowControl/>
        <w:numPr>
          <w:ilvl w:val="0"/>
          <w:numId w:val="7"/>
        </w:numPr>
        <w:rPr>
          <w:sz w:val="22"/>
          <w:szCs w:val="22"/>
          <w:lang w:val="en-GB"/>
        </w:rPr>
      </w:pPr>
      <w:r w:rsidRPr="00252EF3">
        <w:rPr>
          <w:sz w:val="22"/>
          <w:szCs w:val="22"/>
          <w:lang w:val="en-GB"/>
        </w:rPr>
        <w:t>Increased competitiveness of the European industry by cost saving in materials design and processing and a shortened time-to-market for new materials with advanced properties.</w:t>
      </w:r>
    </w:p>
    <w:p w:rsidR="00252EF3" w:rsidRPr="00252EF3" w:rsidRDefault="00252EF3" w:rsidP="00252EF3">
      <w:pPr>
        <w:ind w:left="709"/>
        <w:rPr>
          <w:sz w:val="22"/>
          <w:szCs w:val="22"/>
          <w:lang w:val="en-GB"/>
        </w:rPr>
      </w:pPr>
    </w:p>
    <w:p w:rsidR="00252EF3" w:rsidRPr="00252EF3" w:rsidRDefault="00252EF3" w:rsidP="00252EF3">
      <w:pPr>
        <w:ind w:left="709"/>
        <w:rPr>
          <w:sz w:val="22"/>
          <w:szCs w:val="22"/>
          <w:lang w:val="en-GB"/>
        </w:rPr>
      </w:pPr>
      <w:r w:rsidRPr="00252EF3">
        <w:rPr>
          <w:sz w:val="22"/>
          <w:szCs w:val="22"/>
          <w:lang w:val="en-GB"/>
        </w:rPr>
        <w:t>The proposal should address how it will contribute to the expected impact of the topic.</w:t>
      </w:r>
    </w:p>
    <w:p w:rsidR="00252EF3" w:rsidRPr="00252EF3" w:rsidRDefault="00252EF3" w:rsidP="00252EF3">
      <w:pPr>
        <w:ind w:left="709"/>
        <w:rPr>
          <w:sz w:val="22"/>
          <w:szCs w:val="22"/>
          <w:lang w:val="en-GB"/>
        </w:rPr>
      </w:pPr>
    </w:p>
    <w:p w:rsidR="00252EF3" w:rsidRPr="00252EF3" w:rsidRDefault="00252EF3" w:rsidP="00252EF3">
      <w:pPr>
        <w:ind w:left="709"/>
        <w:rPr>
          <w:b/>
          <w:sz w:val="22"/>
          <w:szCs w:val="22"/>
          <w:lang w:val="en-GB"/>
        </w:rPr>
      </w:pPr>
      <w:r w:rsidRPr="00252EF3">
        <w:rPr>
          <w:b/>
          <w:sz w:val="22"/>
          <w:szCs w:val="22"/>
          <w:lang w:val="en-GB"/>
        </w:rPr>
        <w:t>3. Target groups</w:t>
      </w:r>
    </w:p>
    <w:p w:rsidR="00C85057" w:rsidRPr="00252EF3" w:rsidRDefault="00252EF3" w:rsidP="00252EF3">
      <w:pPr>
        <w:ind w:leftChars="354" w:left="850"/>
        <w:jc w:val="both"/>
        <w:rPr>
          <w:lang w:val="en-GB"/>
        </w:rPr>
      </w:pPr>
      <w:bookmarkStart w:id="0" w:name="_Toc385236044"/>
      <w:bookmarkStart w:id="1" w:name="_Toc385236112"/>
      <w:r w:rsidRPr="00252EF3">
        <w:rPr>
          <w:sz w:val="22"/>
          <w:szCs w:val="22"/>
          <w:lang w:val="en-GB"/>
        </w:rPr>
        <w:t>This topic is targeted to two steps in the innovation chain: basic research and applied research. Project consortia focusing only on basic research or only on applied research are also eligible. The establishment of a strong collaboration between research entities and further networking is strongly encouraged.</w:t>
      </w:r>
      <w:bookmarkEnd w:id="0"/>
      <w:bookmarkEnd w:id="1"/>
    </w:p>
    <w:p w:rsidR="00883E17" w:rsidRPr="00AF4165" w:rsidRDefault="00883E17" w:rsidP="00845207">
      <w:pPr>
        <w:spacing w:before="100" w:beforeAutospacing="1" w:after="100" w:afterAutospacing="1"/>
        <w:jc w:val="both"/>
        <w:rPr>
          <w:b/>
        </w:rPr>
      </w:pPr>
      <w:r w:rsidRPr="00AF4165">
        <w:rPr>
          <w:rFonts w:hint="eastAsia"/>
          <w:b/>
        </w:rPr>
        <w:t>(</w:t>
      </w:r>
      <w:r w:rsidRPr="00AF4165">
        <w:rPr>
          <w:rFonts w:hint="eastAsia"/>
          <w:b/>
        </w:rPr>
        <w:t>二</w:t>
      </w:r>
      <w:proofErr w:type="gramStart"/>
      <w:r w:rsidRPr="00AF4165">
        <w:rPr>
          <w:rFonts w:hint="eastAsia"/>
          <w:b/>
        </w:rPr>
        <w:t>）</w:t>
      </w:r>
      <w:proofErr w:type="gramEnd"/>
      <w:r w:rsidR="009D0EA8">
        <w:rPr>
          <w:rFonts w:hint="eastAsia"/>
          <w:b/>
        </w:rPr>
        <w:t>新型</w:t>
      </w:r>
      <w:r w:rsidRPr="00AF4165">
        <w:rPr>
          <w:rFonts w:hint="eastAsia"/>
          <w:b/>
        </w:rPr>
        <w:t>表</w:t>
      </w:r>
      <w:r>
        <w:rPr>
          <w:rFonts w:hint="eastAsia"/>
          <w:b/>
        </w:rPr>
        <w:t>層塗料</w:t>
      </w:r>
      <w:r w:rsidRPr="00AF4165">
        <w:rPr>
          <w:rFonts w:hint="eastAsia"/>
          <w:b/>
        </w:rPr>
        <w:t>與</w:t>
      </w:r>
      <w:r>
        <w:rPr>
          <w:rFonts w:hint="eastAsia"/>
          <w:b/>
        </w:rPr>
        <w:t>鍍膜技術</w:t>
      </w:r>
      <w:r w:rsidRPr="00AF4165">
        <w:rPr>
          <w:rFonts w:hint="eastAsia"/>
          <w:b/>
        </w:rPr>
        <w:t xml:space="preserve"> (</w:t>
      </w:r>
      <w:r w:rsidR="009D0EA8">
        <w:rPr>
          <w:rFonts w:hint="eastAsia"/>
          <w:b/>
        </w:rPr>
        <w:t>New</w:t>
      </w:r>
      <w:r w:rsidRPr="00AF4165">
        <w:rPr>
          <w:rFonts w:hint="eastAsia"/>
          <w:b/>
        </w:rPr>
        <w:t xml:space="preserve"> Surfaces and Coatings)</w:t>
      </w:r>
    </w:p>
    <w:p w:rsidR="00E743A3" w:rsidRPr="00E743A3" w:rsidRDefault="00E743A3" w:rsidP="00E743A3">
      <w:pPr>
        <w:ind w:left="709"/>
        <w:rPr>
          <w:b/>
          <w:sz w:val="22"/>
          <w:szCs w:val="22"/>
          <w:lang w:val="en-GB"/>
        </w:rPr>
      </w:pPr>
      <w:r>
        <w:rPr>
          <w:rFonts w:hint="eastAsia"/>
          <w:b/>
          <w:sz w:val="22"/>
          <w:szCs w:val="22"/>
          <w:lang w:val="en-GB"/>
        </w:rPr>
        <w:t xml:space="preserve">1. </w:t>
      </w:r>
      <w:r w:rsidRPr="00E743A3">
        <w:rPr>
          <w:b/>
          <w:sz w:val="22"/>
          <w:szCs w:val="22"/>
          <w:lang w:val="en-GB"/>
        </w:rPr>
        <w:t>Technical content/scope</w:t>
      </w:r>
    </w:p>
    <w:p w:rsidR="00E743A3" w:rsidRPr="00E743A3" w:rsidRDefault="00E743A3" w:rsidP="00E743A3">
      <w:pPr>
        <w:ind w:left="709"/>
        <w:rPr>
          <w:sz w:val="22"/>
          <w:szCs w:val="22"/>
          <w:lang w:val="en-GB"/>
        </w:rPr>
      </w:pPr>
      <w:r w:rsidRPr="00E743A3">
        <w:rPr>
          <w:sz w:val="22"/>
          <w:szCs w:val="22"/>
          <w:lang w:val="en-GB"/>
        </w:rPr>
        <w:t>Europe is still keeping an outstanding position in surface and coating technology that is a key technology entangled in numerous industrial sectors. In this call typical technical application areas that are addressed are tribology, chemical and corrosion resistance and multifunctional properties, such as optical, electromagnetic, (anti-) adhesive, electro catalytic characteristics.</w:t>
      </w:r>
    </w:p>
    <w:p w:rsidR="00E743A3" w:rsidRPr="00E743A3" w:rsidRDefault="00E743A3" w:rsidP="00E743A3">
      <w:pPr>
        <w:ind w:left="709"/>
        <w:rPr>
          <w:sz w:val="22"/>
          <w:szCs w:val="22"/>
          <w:lang w:val="en-GB"/>
        </w:rPr>
      </w:pPr>
    </w:p>
    <w:p w:rsidR="00E743A3" w:rsidRPr="00E743A3" w:rsidRDefault="00E743A3" w:rsidP="00E743A3">
      <w:pPr>
        <w:ind w:left="709"/>
        <w:rPr>
          <w:sz w:val="22"/>
          <w:szCs w:val="22"/>
          <w:lang w:val="en-GB"/>
        </w:rPr>
      </w:pPr>
      <w:r w:rsidRPr="00E743A3">
        <w:rPr>
          <w:sz w:val="22"/>
          <w:szCs w:val="22"/>
          <w:lang w:val="en-GB"/>
        </w:rPr>
        <w:t>The objective is to develop new or significantly improved coatings, interfaces and process solutions for chemical and/or physical surface modification acting at the level of the materials surface. This call aims to generate new insights in surface modification and tailoring of (multi-) functional coatings. This will enable a new generation of materials with improved and diverse characteristics.</w:t>
      </w:r>
    </w:p>
    <w:p w:rsidR="00E743A3" w:rsidRPr="00E743A3" w:rsidRDefault="00E743A3" w:rsidP="00E743A3">
      <w:pPr>
        <w:ind w:left="709"/>
        <w:rPr>
          <w:sz w:val="22"/>
          <w:szCs w:val="22"/>
          <w:lang w:val="en-GB"/>
        </w:rPr>
      </w:pPr>
    </w:p>
    <w:p w:rsidR="00E743A3" w:rsidRPr="00E743A3" w:rsidRDefault="00E743A3" w:rsidP="00E743A3">
      <w:pPr>
        <w:ind w:left="709"/>
        <w:rPr>
          <w:sz w:val="22"/>
          <w:szCs w:val="22"/>
          <w:lang w:val="en-GB"/>
        </w:rPr>
      </w:pPr>
      <w:r w:rsidRPr="00E743A3">
        <w:rPr>
          <w:sz w:val="22"/>
          <w:szCs w:val="22"/>
          <w:lang w:val="en-GB"/>
        </w:rPr>
        <w:t xml:space="preserve">The project proposals should address new surface modification and coating solutions, consider new processing routes or new concepts for coating and surface treatment. Project proposals should also focus on interdisciplinary process combinations, new surfaces and coating materials, material compounds, </w:t>
      </w:r>
      <w:proofErr w:type="spellStart"/>
      <w:r w:rsidRPr="00E743A3">
        <w:rPr>
          <w:sz w:val="22"/>
          <w:szCs w:val="22"/>
          <w:lang w:val="en-GB"/>
        </w:rPr>
        <w:t>graphene</w:t>
      </w:r>
      <w:proofErr w:type="spellEnd"/>
      <w:r w:rsidRPr="00E743A3">
        <w:rPr>
          <w:sz w:val="22"/>
          <w:szCs w:val="22"/>
          <w:lang w:val="en-GB"/>
        </w:rPr>
        <w:t xml:space="preserve"> related materials, </w:t>
      </w:r>
      <w:proofErr w:type="spellStart"/>
      <w:r w:rsidRPr="00E743A3">
        <w:rPr>
          <w:sz w:val="22"/>
          <w:szCs w:val="22"/>
          <w:lang w:val="en-GB"/>
        </w:rPr>
        <w:t>nanomaterials</w:t>
      </w:r>
      <w:proofErr w:type="spellEnd"/>
      <w:r w:rsidRPr="00E743A3">
        <w:rPr>
          <w:sz w:val="22"/>
          <w:szCs w:val="22"/>
          <w:lang w:val="en-GB"/>
        </w:rPr>
        <w:t xml:space="preserve"> or multilayers. Consideration should be given to basic understanding of the mechanisms, experimental assessment, prototyping, up-scaling, manufacturing and/or validation. The proposals should consider the processing aspect of the new technology aiming for flexible and energy-efficient approaches in production with smart use of materials (saving resources and tailoring applications) in an environmentally friendly manner. In order to ensure relevance for different partners in the value chain the proposal should state clear concepts for application(s) and sector(s).</w:t>
      </w:r>
    </w:p>
    <w:p w:rsidR="00E743A3" w:rsidRPr="00E743A3" w:rsidRDefault="00E743A3" w:rsidP="00E743A3">
      <w:pPr>
        <w:ind w:left="709"/>
        <w:rPr>
          <w:sz w:val="22"/>
          <w:szCs w:val="22"/>
          <w:lang w:val="en-GB"/>
        </w:rPr>
      </w:pPr>
    </w:p>
    <w:p w:rsidR="00E743A3" w:rsidRPr="00E743A3" w:rsidRDefault="00E743A3" w:rsidP="00E743A3">
      <w:pPr>
        <w:ind w:left="709"/>
        <w:rPr>
          <w:b/>
          <w:sz w:val="22"/>
          <w:szCs w:val="22"/>
          <w:lang w:val="en-GB"/>
        </w:rPr>
      </w:pPr>
      <w:r>
        <w:rPr>
          <w:rFonts w:hint="eastAsia"/>
          <w:b/>
          <w:sz w:val="22"/>
          <w:szCs w:val="22"/>
          <w:lang w:val="en-GB"/>
        </w:rPr>
        <w:t xml:space="preserve">2. </w:t>
      </w:r>
      <w:r w:rsidRPr="00E743A3">
        <w:rPr>
          <w:b/>
          <w:sz w:val="22"/>
          <w:szCs w:val="22"/>
          <w:lang w:val="en-GB"/>
        </w:rPr>
        <w:t>Expected impact</w:t>
      </w:r>
    </w:p>
    <w:p w:rsidR="00E743A3" w:rsidRPr="00E743A3" w:rsidRDefault="00E743A3" w:rsidP="00DD7F3B">
      <w:pPr>
        <w:widowControl/>
        <w:numPr>
          <w:ilvl w:val="0"/>
          <w:numId w:val="8"/>
        </w:numPr>
        <w:ind w:leftChars="414" w:left="1276" w:hangingChars="128" w:hanging="282"/>
        <w:rPr>
          <w:b/>
          <w:sz w:val="22"/>
          <w:szCs w:val="22"/>
          <w:lang w:val="en-GB"/>
        </w:rPr>
      </w:pPr>
      <w:r w:rsidRPr="00E743A3">
        <w:rPr>
          <w:sz w:val="22"/>
          <w:szCs w:val="22"/>
          <w:lang w:val="en-GB"/>
        </w:rPr>
        <w:t>New and improved components/products with tailored properties or functionalities by tuned surfaces and coatings.</w:t>
      </w:r>
    </w:p>
    <w:p w:rsidR="00E743A3" w:rsidRPr="00E743A3" w:rsidRDefault="00E743A3" w:rsidP="00DD7F3B">
      <w:pPr>
        <w:widowControl/>
        <w:numPr>
          <w:ilvl w:val="0"/>
          <w:numId w:val="8"/>
        </w:numPr>
        <w:ind w:leftChars="414" w:left="1276" w:hangingChars="128" w:hanging="282"/>
        <w:rPr>
          <w:b/>
          <w:sz w:val="22"/>
          <w:szCs w:val="22"/>
          <w:lang w:val="en-GB"/>
        </w:rPr>
      </w:pPr>
      <w:r w:rsidRPr="00E743A3">
        <w:rPr>
          <w:sz w:val="22"/>
          <w:szCs w:val="22"/>
          <w:lang w:val="en-GB"/>
        </w:rPr>
        <w:t>The focus has to be laid on a clear ecological impact in terms of avoidance of hazardous materials and compounds and aspects of sustainability in processes, coating material and technology and life time cycles.</w:t>
      </w:r>
    </w:p>
    <w:p w:rsidR="00E743A3" w:rsidRPr="00E743A3" w:rsidRDefault="00E743A3" w:rsidP="00DD7F3B">
      <w:pPr>
        <w:widowControl/>
        <w:numPr>
          <w:ilvl w:val="0"/>
          <w:numId w:val="8"/>
        </w:numPr>
        <w:ind w:leftChars="414" w:left="1276" w:hangingChars="128" w:hanging="282"/>
        <w:rPr>
          <w:b/>
          <w:sz w:val="22"/>
          <w:szCs w:val="22"/>
          <w:lang w:val="en-GB"/>
        </w:rPr>
      </w:pPr>
      <w:r w:rsidRPr="00E743A3">
        <w:rPr>
          <w:sz w:val="22"/>
          <w:szCs w:val="22"/>
          <w:lang w:val="en-GB"/>
        </w:rPr>
        <w:t xml:space="preserve">The project should include partners all throughout the value </w:t>
      </w:r>
      <w:proofErr w:type="gramStart"/>
      <w:r w:rsidRPr="00E743A3">
        <w:rPr>
          <w:sz w:val="22"/>
          <w:szCs w:val="22"/>
          <w:lang w:val="en-GB"/>
        </w:rPr>
        <w:t>chain,</w:t>
      </w:r>
      <w:proofErr w:type="gramEnd"/>
      <w:r w:rsidRPr="00E743A3">
        <w:rPr>
          <w:sz w:val="22"/>
          <w:szCs w:val="22"/>
          <w:lang w:val="en-GB"/>
        </w:rPr>
        <w:t xml:space="preserve"> even proposals focused on basic research should give a strategy for transfer to industry including a roadmap of valorisation.</w:t>
      </w:r>
    </w:p>
    <w:p w:rsidR="00E743A3" w:rsidRPr="00E743A3" w:rsidRDefault="00E743A3" w:rsidP="00DD7F3B">
      <w:pPr>
        <w:widowControl/>
        <w:numPr>
          <w:ilvl w:val="0"/>
          <w:numId w:val="8"/>
        </w:numPr>
        <w:ind w:leftChars="414" w:left="1276" w:hangingChars="128" w:hanging="282"/>
        <w:rPr>
          <w:b/>
          <w:sz w:val="22"/>
          <w:szCs w:val="22"/>
          <w:lang w:val="en-GB"/>
        </w:rPr>
      </w:pPr>
      <w:r w:rsidRPr="00E743A3">
        <w:rPr>
          <w:sz w:val="22"/>
          <w:szCs w:val="22"/>
          <w:lang w:val="en-GB"/>
        </w:rPr>
        <w:t xml:space="preserve">The project should emphasize on new products by functionalised surfaces and coatings that might have strong societal impact, on e.g. safety, economics and life quality. These are expected to create synergies between industry and research. </w:t>
      </w:r>
    </w:p>
    <w:p w:rsidR="00E743A3" w:rsidRPr="00E743A3" w:rsidRDefault="00E743A3" w:rsidP="00DD7F3B">
      <w:pPr>
        <w:widowControl/>
        <w:numPr>
          <w:ilvl w:val="0"/>
          <w:numId w:val="8"/>
        </w:numPr>
        <w:ind w:leftChars="414" w:left="1276" w:hangingChars="128" w:hanging="282"/>
        <w:rPr>
          <w:b/>
          <w:sz w:val="22"/>
          <w:szCs w:val="22"/>
          <w:lang w:val="en-GB"/>
        </w:rPr>
      </w:pPr>
      <w:r w:rsidRPr="00E743A3">
        <w:rPr>
          <w:sz w:val="22"/>
          <w:szCs w:val="22"/>
          <w:lang w:val="en-GB"/>
        </w:rPr>
        <w:t xml:space="preserve">The transnational and/or international exchange of researchers from RTD entities and industrial partners is encouraged. </w:t>
      </w:r>
    </w:p>
    <w:p w:rsidR="00E743A3" w:rsidRPr="00E743A3" w:rsidRDefault="00E743A3" w:rsidP="00DD7F3B">
      <w:pPr>
        <w:widowControl/>
        <w:numPr>
          <w:ilvl w:val="0"/>
          <w:numId w:val="8"/>
        </w:numPr>
        <w:ind w:leftChars="414" w:left="1276" w:hangingChars="128" w:hanging="282"/>
        <w:rPr>
          <w:b/>
          <w:sz w:val="22"/>
          <w:szCs w:val="22"/>
          <w:lang w:val="en-GB"/>
        </w:rPr>
      </w:pPr>
      <w:r w:rsidRPr="00E743A3">
        <w:rPr>
          <w:sz w:val="22"/>
          <w:szCs w:val="22"/>
          <w:lang w:val="en-GB"/>
        </w:rPr>
        <w:t>This call is not aimed at surfaces and interfaces related to sensors.</w:t>
      </w:r>
    </w:p>
    <w:p w:rsidR="00E743A3" w:rsidRPr="00E743A3" w:rsidRDefault="00E743A3" w:rsidP="00E743A3">
      <w:pPr>
        <w:rPr>
          <w:b/>
          <w:sz w:val="22"/>
          <w:szCs w:val="22"/>
          <w:lang w:val="en-GB"/>
        </w:rPr>
      </w:pPr>
    </w:p>
    <w:p w:rsidR="00E743A3" w:rsidRPr="00E743A3" w:rsidRDefault="00E743A3" w:rsidP="00E743A3">
      <w:pPr>
        <w:ind w:left="709"/>
        <w:rPr>
          <w:b/>
          <w:sz w:val="22"/>
          <w:szCs w:val="22"/>
          <w:lang w:val="en-GB"/>
        </w:rPr>
      </w:pPr>
      <w:r>
        <w:rPr>
          <w:rFonts w:hint="eastAsia"/>
          <w:b/>
          <w:sz w:val="22"/>
          <w:szCs w:val="22"/>
          <w:lang w:val="en-GB"/>
        </w:rPr>
        <w:t xml:space="preserve">3. </w:t>
      </w:r>
      <w:r w:rsidRPr="00E743A3">
        <w:rPr>
          <w:b/>
          <w:sz w:val="22"/>
          <w:szCs w:val="22"/>
          <w:lang w:val="en-GB"/>
        </w:rPr>
        <w:t>Target groups</w:t>
      </w:r>
    </w:p>
    <w:p w:rsidR="00E743A3" w:rsidRPr="00E743A3" w:rsidRDefault="00E743A3" w:rsidP="00E743A3">
      <w:pPr>
        <w:ind w:left="709"/>
        <w:rPr>
          <w:b/>
          <w:sz w:val="22"/>
          <w:szCs w:val="22"/>
          <w:lang w:val="en-GB"/>
        </w:rPr>
      </w:pPr>
      <w:r w:rsidRPr="00E743A3">
        <w:rPr>
          <w:sz w:val="22"/>
          <w:szCs w:val="22"/>
          <w:lang w:val="en-GB"/>
        </w:rPr>
        <w:t xml:space="preserve">This topic is targeted to all groups in the innovation chain: basic research, applied research, industrial R&amp;D and production. The particular subject of the proposal deals with the establishment of a strong collaboration between research entities and SMEs. Interdisciplinary projects are encouraged and should enable a broader cross-sectorial use. Participation of large industry is encouraged e.g. as potential end user of the technology proposed. </w:t>
      </w:r>
    </w:p>
    <w:p w:rsidR="00883E17" w:rsidRPr="009A7B9E" w:rsidRDefault="00E743A3" w:rsidP="00E743A3">
      <w:pPr>
        <w:spacing w:before="100" w:beforeAutospacing="1" w:after="100" w:afterAutospacing="1"/>
        <w:jc w:val="both"/>
        <w:rPr>
          <w:b/>
        </w:rPr>
      </w:pPr>
      <w:r w:rsidRPr="009A7B9E">
        <w:rPr>
          <w:rFonts w:hint="eastAsia"/>
          <w:b/>
        </w:rPr>
        <w:t xml:space="preserve"> </w:t>
      </w:r>
      <w:r w:rsidR="00883E17" w:rsidRPr="009A7B9E">
        <w:rPr>
          <w:rFonts w:hint="eastAsia"/>
          <w:b/>
        </w:rPr>
        <w:t>(</w:t>
      </w:r>
      <w:r w:rsidR="00883E17" w:rsidRPr="009A7B9E">
        <w:rPr>
          <w:rFonts w:hint="eastAsia"/>
          <w:b/>
        </w:rPr>
        <w:t>三</w:t>
      </w:r>
      <w:proofErr w:type="gramStart"/>
      <w:r w:rsidR="00883E17" w:rsidRPr="009A7B9E">
        <w:rPr>
          <w:rFonts w:hint="eastAsia"/>
          <w:b/>
        </w:rPr>
        <w:t>）</w:t>
      </w:r>
      <w:proofErr w:type="gramEnd"/>
      <w:r w:rsidR="00883E17" w:rsidRPr="009A7B9E">
        <w:rPr>
          <w:rFonts w:hint="eastAsia"/>
          <w:b/>
        </w:rPr>
        <w:t>複合材料技術</w:t>
      </w:r>
      <w:r w:rsidR="00193519">
        <w:rPr>
          <w:rFonts w:hint="eastAsia"/>
          <w:b/>
        </w:rPr>
        <w:t xml:space="preserve"> (</w:t>
      </w:r>
      <w:r w:rsidR="009A637E" w:rsidRPr="009A637E">
        <w:rPr>
          <w:b/>
        </w:rPr>
        <w:t>Composite</w:t>
      </w:r>
      <w:r w:rsidR="009A637E" w:rsidRPr="00C85057">
        <w:rPr>
          <w:b/>
        </w:rPr>
        <w:t xml:space="preserve"> </w:t>
      </w:r>
      <w:r w:rsidR="009A637E" w:rsidRPr="00193519">
        <w:rPr>
          <w:b/>
        </w:rPr>
        <w:t>Technology</w:t>
      </w:r>
      <w:r w:rsidR="00193519">
        <w:rPr>
          <w:rFonts w:hint="eastAsia"/>
          <w:b/>
        </w:rPr>
        <w:t>)</w:t>
      </w:r>
    </w:p>
    <w:p w:rsidR="00E743A3" w:rsidRPr="00E743A3" w:rsidRDefault="00E743A3" w:rsidP="00E743A3">
      <w:pPr>
        <w:ind w:left="709"/>
        <w:rPr>
          <w:b/>
          <w:sz w:val="22"/>
          <w:szCs w:val="22"/>
          <w:lang w:val="en-GB"/>
        </w:rPr>
      </w:pPr>
      <w:r>
        <w:rPr>
          <w:rFonts w:hint="eastAsia"/>
          <w:b/>
          <w:sz w:val="22"/>
          <w:szCs w:val="22"/>
          <w:lang w:val="en-GB"/>
        </w:rPr>
        <w:t xml:space="preserve">1. </w:t>
      </w:r>
      <w:r w:rsidRPr="00E743A3">
        <w:rPr>
          <w:b/>
          <w:sz w:val="22"/>
          <w:szCs w:val="22"/>
          <w:lang w:val="en-GB"/>
        </w:rPr>
        <w:t>Technical content/scope</w:t>
      </w:r>
    </w:p>
    <w:p w:rsidR="00E743A3" w:rsidRPr="00E743A3" w:rsidRDefault="00E743A3" w:rsidP="00E743A3">
      <w:pPr>
        <w:ind w:left="709"/>
        <w:rPr>
          <w:sz w:val="22"/>
          <w:szCs w:val="22"/>
          <w:lang w:val="en-GB"/>
        </w:rPr>
      </w:pPr>
      <w:r w:rsidRPr="00E743A3">
        <w:rPr>
          <w:sz w:val="22"/>
          <w:szCs w:val="22"/>
          <w:lang w:val="en-GB"/>
        </w:rPr>
        <w:t xml:space="preserve">Composites within the scope of this call are referred to as engineered materials composed of two or more constituents – typically a polymer matrix and a reinforcement being in the form of a fibre or a filler - to meet the requirements which cannot be otherwise fulfilled by one component alone. </w:t>
      </w:r>
    </w:p>
    <w:p w:rsidR="00E743A3" w:rsidRPr="00E743A3" w:rsidRDefault="00E743A3" w:rsidP="00E743A3">
      <w:pPr>
        <w:ind w:left="709"/>
        <w:rPr>
          <w:sz w:val="22"/>
          <w:szCs w:val="22"/>
          <w:lang w:val="en-GB"/>
        </w:rPr>
      </w:pPr>
    </w:p>
    <w:p w:rsidR="00E743A3" w:rsidRPr="00E743A3" w:rsidRDefault="00E743A3" w:rsidP="00E743A3">
      <w:pPr>
        <w:ind w:left="709"/>
        <w:rPr>
          <w:sz w:val="22"/>
          <w:szCs w:val="22"/>
          <w:lang w:val="en-GB"/>
        </w:rPr>
      </w:pPr>
      <w:r w:rsidRPr="00E743A3">
        <w:rPr>
          <w:sz w:val="22"/>
          <w:szCs w:val="22"/>
          <w:lang w:val="en-GB"/>
        </w:rPr>
        <w:t xml:space="preserve">The call is not limited to the structural composites having outstanding mechanical performance with high strength or stiffness to weight ratio but also targets enhancements in physical/chemical properties such as electrical, optical or magnetic properties. The research proposals could also address methodology and tools for design-optimisation, manufacturing, automation, process and structural health monitoring, and modelling and simulation of processing as well as in-service behaviour of composites. </w:t>
      </w:r>
    </w:p>
    <w:p w:rsidR="00E743A3" w:rsidRPr="00E743A3" w:rsidRDefault="00E743A3" w:rsidP="00E743A3">
      <w:pPr>
        <w:ind w:left="709"/>
        <w:rPr>
          <w:sz w:val="22"/>
          <w:szCs w:val="22"/>
          <w:lang w:val="en-GB"/>
        </w:rPr>
      </w:pPr>
      <w:r w:rsidRPr="00E743A3">
        <w:rPr>
          <w:sz w:val="22"/>
          <w:szCs w:val="22"/>
          <w:lang w:val="en-GB"/>
        </w:rPr>
        <w:t>The possible application areas of composites may include among others light weight structures in transportation and mobility, in energy and other engineering applications.</w:t>
      </w:r>
    </w:p>
    <w:p w:rsidR="00E743A3" w:rsidRPr="00E743A3" w:rsidRDefault="00E743A3" w:rsidP="00E743A3">
      <w:pPr>
        <w:ind w:left="709"/>
        <w:rPr>
          <w:sz w:val="22"/>
          <w:szCs w:val="22"/>
          <w:lang w:val="en-GB"/>
        </w:rPr>
      </w:pPr>
    </w:p>
    <w:p w:rsidR="00E743A3" w:rsidRPr="00E743A3" w:rsidRDefault="00E743A3" w:rsidP="00E743A3">
      <w:pPr>
        <w:ind w:left="709"/>
        <w:rPr>
          <w:sz w:val="22"/>
          <w:szCs w:val="22"/>
          <w:lang w:val="en-GB"/>
        </w:rPr>
      </w:pPr>
      <w:r w:rsidRPr="00E743A3">
        <w:rPr>
          <w:sz w:val="22"/>
          <w:szCs w:val="22"/>
          <w:lang w:val="en-GB"/>
        </w:rPr>
        <w:t>The research proposals should address one or more of the following:</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New material designs based on defined structure/property relationships, enabling drastic improvement of the mechanical performance. </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New composites which combine improved mechanical performance with other physical or physical-chemical functionalities like enhanced thermal, electrical, magnetic, chemical properties, and self-healing abilities. This could be achieved among others by the integration of </w:t>
      </w:r>
      <w:proofErr w:type="spellStart"/>
      <w:r w:rsidRPr="00E743A3">
        <w:rPr>
          <w:sz w:val="22"/>
          <w:szCs w:val="22"/>
          <w:lang w:val="en-GB"/>
        </w:rPr>
        <w:t>nano</w:t>
      </w:r>
      <w:proofErr w:type="spellEnd"/>
      <w:r w:rsidRPr="00E743A3">
        <w:rPr>
          <w:sz w:val="22"/>
          <w:szCs w:val="22"/>
          <w:lang w:val="en-GB"/>
        </w:rPr>
        <w:t xml:space="preserve"> phases into the composite. </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Composite processing methods enabling high production rates, aiming at applications in high-volume markets; material innovations could encompass fast curing, low viscosity resins or </w:t>
      </w:r>
      <w:proofErr w:type="spellStart"/>
      <w:r w:rsidRPr="00E743A3">
        <w:rPr>
          <w:sz w:val="22"/>
          <w:szCs w:val="22"/>
          <w:lang w:val="en-GB"/>
        </w:rPr>
        <w:t>stampable</w:t>
      </w:r>
      <w:proofErr w:type="spellEnd"/>
      <w:r w:rsidRPr="00E743A3">
        <w:rPr>
          <w:sz w:val="22"/>
          <w:szCs w:val="22"/>
          <w:lang w:val="en-GB"/>
        </w:rPr>
        <w:t xml:space="preserve"> thermoplastic composite sheets, but also automation, </w:t>
      </w:r>
      <w:proofErr w:type="spellStart"/>
      <w:r w:rsidRPr="00E743A3">
        <w:rPr>
          <w:sz w:val="22"/>
          <w:szCs w:val="22"/>
          <w:lang w:val="en-GB"/>
        </w:rPr>
        <w:t>robotisation</w:t>
      </w:r>
      <w:proofErr w:type="spellEnd"/>
      <w:r w:rsidRPr="00E743A3">
        <w:rPr>
          <w:sz w:val="22"/>
          <w:szCs w:val="22"/>
          <w:lang w:val="en-GB"/>
        </w:rPr>
        <w:t xml:space="preserve"> and energy optimisation of the production process should be envisaged. </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Composite processing technologies for joining, assembling and repair, which also reduce after-work.</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Composites with low ecological impact such as those composed of </w:t>
      </w:r>
      <w:proofErr w:type="spellStart"/>
      <w:r w:rsidRPr="00E743A3">
        <w:rPr>
          <w:sz w:val="22"/>
          <w:szCs w:val="22"/>
          <w:lang w:val="en-GB"/>
        </w:rPr>
        <w:t>biobased</w:t>
      </w:r>
      <w:proofErr w:type="spellEnd"/>
      <w:r w:rsidRPr="00E743A3">
        <w:rPr>
          <w:sz w:val="22"/>
          <w:szCs w:val="22"/>
          <w:lang w:val="en-GB"/>
        </w:rPr>
        <w:t xml:space="preserve"> polymer matrices and/or natural fibres </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Modelling and simulation of processing conditions and in service behaviour of composites using a </w:t>
      </w:r>
      <w:proofErr w:type="spellStart"/>
      <w:r w:rsidRPr="00E743A3">
        <w:rPr>
          <w:sz w:val="22"/>
          <w:szCs w:val="22"/>
          <w:lang w:val="en-GB"/>
        </w:rPr>
        <w:t>multiscale</w:t>
      </w:r>
      <w:proofErr w:type="spellEnd"/>
      <w:r w:rsidRPr="00E743A3">
        <w:rPr>
          <w:sz w:val="22"/>
          <w:szCs w:val="22"/>
          <w:lang w:val="en-GB"/>
        </w:rPr>
        <w:t xml:space="preserve"> approach. </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Novel and unique knowledge in molecular design, functionalization and characterization of a wide range of fibre or filler reinforced composite materials. </w:t>
      </w:r>
    </w:p>
    <w:p w:rsidR="00E743A3" w:rsidRPr="00E743A3" w:rsidRDefault="00E743A3" w:rsidP="00DD7F3B">
      <w:pPr>
        <w:widowControl/>
        <w:numPr>
          <w:ilvl w:val="0"/>
          <w:numId w:val="12"/>
        </w:numPr>
        <w:ind w:left="1276" w:hanging="283"/>
        <w:rPr>
          <w:sz w:val="22"/>
          <w:szCs w:val="22"/>
          <w:lang w:val="en-GB"/>
        </w:rPr>
      </w:pPr>
      <w:r w:rsidRPr="00E743A3">
        <w:rPr>
          <w:sz w:val="22"/>
          <w:szCs w:val="22"/>
          <w:lang w:val="en-GB"/>
        </w:rPr>
        <w:t xml:space="preserve">Composites which include </w:t>
      </w:r>
      <w:proofErr w:type="spellStart"/>
      <w:r w:rsidRPr="00E743A3">
        <w:rPr>
          <w:sz w:val="22"/>
          <w:szCs w:val="22"/>
          <w:lang w:val="en-GB"/>
        </w:rPr>
        <w:t>graphene</w:t>
      </w:r>
      <w:proofErr w:type="spellEnd"/>
      <w:r w:rsidRPr="00E743A3">
        <w:rPr>
          <w:sz w:val="22"/>
          <w:szCs w:val="22"/>
          <w:lang w:val="en-GB"/>
        </w:rPr>
        <w:t xml:space="preserve"> related materials</w:t>
      </w:r>
    </w:p>
    <w:p w:rsidR="00E743A3" w:rsidRPr="00E743A3" w:rsidRDefault="00E743A3" w:rsidP="00E743A3">
      <w:pPr>
        <w:ind w:left="709"/>
        <w:rPr>
          <w:sz w:val="22"/>
          <w:szCs w:val="22"/>
          <w:lang w:val="en-GB"/>
        </w:rPr>
      </w:pPr>
    </w:p>
    <w:p w:rsidR="00E743A3" w:rsidRPr="00E743A3" w:rsidRDefault="00E743A3" w:rsidP="00E743A3">
      <w:pPr>
        <w:ind w:left="709"/>
        <w:rPr>
          <w:sz w:val="22"/>
          <w:szCs w:val="22"/>
          <w:lang w:val="en-GB"/>
        </w:rPr>
      </w:pPr>
      <w:r w:rsidRPr="00E743A3">
        <w:rPr>
          <w:sz w:val="22"/>
          <w:szCs w:val="22"/>
          <w:lang w:val="en-GB"/>
        </w:rPr>
        <w:t>To strengthen the whole innovation chain it is strongly recommended that the project proposal should be balanced by incorporating materials, processing and application development of composites.  Such integration could be further enhanced by fostering collaboration between universities and industry, and by a consortium covering the whole value chain. International cooperation is strongly encouraged.</w:t>
      </w:r>
    </w:p>
    <w:p w:rsidR="00E743A3" w:rsidRDefault="00E743A3" w:rsidP="00E743A3">
      <w:pPr>
        <w:ind w:left="709"/>
        <w:rPr>
          <w:b/>
          <w:bCs/>
          <w:sz w:val="22"/>
          <w:szCs w:val="22"/>
          <w:lang w:val="en-GB"/>
        </w:rPr>
      </w:pPr>
    </w:p>
    <w:p w:rsidR="00E743A3" w:rsidRPr="00E743A3" w:rsidRDefault="00E743A3" w:rsidP="00E743A3">
      <w:pPr>
        <w:ind w:left="709"/>
        <w:rPr>
          <w:b/>
          <w:bCs/>
          <w:sz w:val="22"/>
          <w:szCs w:val="22"/>
          <w:lang w:val="en-GB"/>
        </w:rPr>
      </w:pPr>
    </w:p>
    <w:p w:rsidR="00E743A3" w:rsidRPr="00E743A3" w:rsidRDefault="00E743A3" w:rsidP="00E743A3">
      <w:pPr>
        <w:ind w:left="709"/>
        <w:rPr>
          <w:b/>
          <w:bCs/>
          <w:sz w:val="22"/>
          <w:szCs w:val="22"/>
          <w:lang w:val="en-GB"/>
        </w:rPr>
      </w:pPr>
      <w:r>
        <w:rPr>
          <w:rFonts w:hint="eastAsia"/>
          <w:b/>
          <w:bCs/>
          <w:sz w:val="22"/>
          <w:szCs w:val="22"/>
          <w:lang w:val="en-GB"/>
        </w:rPr>
        <w:t xml:space="preserve">2. </w:t>
      </w:r>
      <w:r w:rsidRPr="00E743A3">
        <w:rPr>
          <w:b/>
          <w:bCs/>
          <w:sz w:val="22"/>
          <w:szCs w:val="22"/>
          <w:lang w:val="en-GB"/>
        </w:rPr>
        <w:t>Expected impact</w:t>
      </w:r>
    </w:p>
    <w:p w:rsidR="00E743A3" w:rsidRPr="00E743A3" w:rsidRDefault="00E743A3" w:rsidP="00DD7F3B">
      <w:pPr>
        <w:widowControl/>
        <w:numPr>
          <w:ilvl w:val="0"/>
          <w:numId w:val="11"/>
        </w:numPr>
        <w:ind w:left="1276" w:hanging="283"/>
        <w:rPr>
          <w:sz w:val="22"/>
          <w:szCs w:val="22"/>
          <w:lang w:val="en-GB"/>
        </w:rPr>
      </w:pPr>
      <w:r w:rsidRPr="00E743A3">
        <w:rPr>
          <w:sz w:val="22"/>
          <w:szCs w:val="22"/>
          <w:lang w:val="en-GB"/>
        </w:rPr>
        <w:t xml:space="preserve">More competitive industrial products and processes using the advanced materials design and manufacturing concepts supported by modelling and simulation tools. </w:t>
      </w:r>
    </w:p>
    <w:p w:rsidR="00E743A3" w:rsidRPr="00E743A3" w:rsidRDefault="00E743A3" w:rsidP="00DD7F3B">
      <w:pPr>
        <w:widowControl/>
        <w:numPr>
          <w:ilvl w:val="0"/>
          <w:numId w:val="10"/>
        </w:numPr>
        <w:ind w:left="1276" w:hanging="283"/>
        <w:rPr>
          <w:sz w:val="22"/>
          <w:szCs w:val="22"/>
          <w:lang w:val="en-GB"/>
        </w:rPr>
      </w:pPr>
      <w:r w:rsidRPr="00E743A3">
        <w:rPr>
          <w:sz w:val="22"/>
          <w:szCs w:val="22"/>
          <w:lang w:val="en-GB"/>
        </w:rPr>
        <w:t xml:space="preserve">Socio-ecological benefits provided by products with higher integration level of functionality, lighter products to transport, lighter vehicles to decrease energy consumption, and by using materials with lower environmental impact. </w:t>
      </w:r>
    </w:p>
    <w:p w:rsidR="00E743A3" w:rsidRPr="00E743A3" w:rsidRDefault="00E743A3" w:rsidP="00DD7F3B">
      <w:pPr>
        <w:widowControl/>
        <w:numPr>
          <w:ilvl w:val="0"/>
          <w:numId w:val="9"/>
        </w:numPr>
        <w:ind w:left="1276" w:hanging="283"/>
        <w:rPr>
          <w:sz w:val="22"/>
          <w:szCs w:val="22"/>
          <w:lang w:val="en-GB"/>
        </w:rPr>
      </w:pPr>
      <w:r w:rsidRPr="00E743A3">
        <w:rPr>
          <w:sz w:val="22"/>
          <w:szCs w:val="22"/>
          <w:lang w:val="en-GB"/>
        </w:rPr>
        <w:t xml:space="preserve">Because the composites industry is characterised by a large number of scattered players, including SME manufacturers and equipment suppliers, the projects should result in networks inside Europe, thereby improving the sharing of knowledge and reinforcing both technological and scientific platforms. </w:t>
      </w:r>
    </w:p>
    <w:p w:rsidR="00E743A3" w:rsidRPr="00E743A3" w:rsidRDefault="00E743A3" w:rsidP="00E743A3">
      <w:pPr>
        <w:ind w:left="709"/>
        <w:rPr>
          <w:b/>
          <w:bCs/>
          <w:sz w:val="22"/>
          <w:szCs w:val="22"/>
          <w:lang w:val="en-GB"/>
        </w:rPr>
      </w:pPr>
    </w:p>
    <w:p w:rsidR="00E743A3" w:rsidRPr="00E743A3" w:rsidRDefault="00E743A3" w:rsidP="00E743A3">
      <w:pPr>
        <w:ind w:left="709"/>
        <w:rPr>
          <w:b/>
          <w:bCs/>
          <w:sz w:val="22"/>
          <w:szCs w:val="22"/>
          <w:lang w:val="en-GB"/>
        </w:rPr>
      </w:pPr>
      <w:r>
        <w:rPr>
          <w:rFonts w:hint="eastAsia"/>
          <w:b/>
          <w:bCs/>
          <w:sz w:val="22"/>
          <w:szCs w:val="22"/>
          <w:lang w:val="en-GB"/>
        </w:rPr>
        <w:t xml:space="preserve">3. </w:t>
      </w:r>
      <w:r w:rsidRPr="00E743A3">
        <w:rPr>
          <w:b/>
          <w:bCs/>
          <w:sz w:val="22"/>
          <w:szCs w:val="22"/>
          <w:lang w:val="en-GB"/>
        </w:rPr>
        <w:t>Target groups</w:t>
      </w:r>
    </w:p>
    <w:p w:rsidR="00883E17" w:rsidRPr="00E743A3" w:rsidRDefault="00E743A3" w:rsidP="00E743A3">
      <w:pPr>
        <w:ind w:leftChars="295" w:left="708"/>
        <w:jc w:val="both"/>
        <w:rPr>
          <w:sz w:val="22"/>
          <w:szCs w:val="22"/>
          <w:lang w:val="en-GB"/>
        </w:rPr>
      </w:pPr>
      <w:r w:rsidRPr="00E743A3">
        <w:rPr>
          <w:sz w:val="22"/>
          <w:szCs w:val="22"/>
          <w:lang w:val="en-GB"/>
        </w:rPr>
        <w:t>This topic is targeted to all groups in the innovation chain: basic research, applied research, industrial R&amp;D. The particular subject of the proposal deals with the establishment of a strong collaboration between research entities, SMEs and large industry.</w:t>
      </w:r>
    </w:p>
    <w:p w:rsidR="00E743A3" w:rsidRDefault="00E743A3" w:rsidP="00E743A3">
      <w:pPr>
        <w:jc w:val="both"/>
      </w:pPr>
    </w:p>
    <w:p w:rsidR="00711C16" w:rsidRPr="00711C16" w:rsidRDefault="006B06EB" w:rsidP="00711C16">
      <w:pPr>
        <w:ind w:left="567" w:hangingChars="236" w:hanging="567"/>
        <w:rPr>
          <w:b/>
        </w:rPr>
      </w:pPr>
      <w:r w:rsidRPr="00B01102">
        <w:rPr>
          <w:rFonts w:hint="eastAsia"/>
          <w:b/>
        </w:rPr>
        <w:t>(</w:t>
      </w:r>
      <w:r>
        <w:rPr>
          <w:rFonts w:hint="eastAsia"/>
          <w:b/>
        </w:rPr>
        <w:t>四</w:t>
      </w:r>
      <w:proofErr w:type="gramStart"/>
      <w:r w:rsidRPr="00B01102">
        <w:rPr>
          <w:rFonts w:hint="eastAsia"/>
          <w:b/>
        </w:rPr>
        <w:t>）</w:t>
      </w:r>
      <w:proofErr w:type="gramEnd"/>
      <w:r w:rsidRPr="00B01102">
        <w:rPr>
          <w:rFonts w:hint="eastAsia"/>
          <w:b/>
        </w:rPr>
        <w:t>可持續和</w:t>
      </w:r>
      <w:proofErr w:type="gramStart"/>
      <w:r w:rsidRPr="00B01102">
        <w:rPr>
          <w:rFonts w:hint="eastAsia"/>
          <w:b/>
        </w:rPr>
        <w:t>可</w:t>
      </w:r>
      <w:proofErr w:type="gramEnd"/>
      <w:r w:rsidRPr="00B01102">
        <w:rPr>
          <w:rFonts w:hint="eastAsia"/>
          <w:b/>
        </w:rPr>
        <w:t>負擔的低碳能源材料</w:t>
      </w:r>
      <w:r>
        <w:rPr>
          <w:rFonts w:hint="eastAsia"/>
          <w:b/>
        </w:rPr>
        <w:t xml:space="preserve"> (Materials for Sustainable and Affordable Low Carbon Energy Technologies)</w:t>
      </w:r>
      <w:r w:rsidR="00711C16">
        <w:rPr>
          <w:rFonts w:hint="eastAsia"/>
          <w:b/>
        </w:rPr>
        <w:br/>
      </w:r>
    </w:p>
    <w:p w:rsidR="00711C16" w:rsidRPr="00711C16" w:rsidRDefault="00711C16" w:rsidP="00711C16">
      <w:pPr>
        <w:ind w:left="709"/>
        <w:rPr>
          <w:b/>
          <w:sz w:val="22"/>
          <w:szCs w:val="22"/>
          <w:lang w:val="en-GB"/>
        </w:rPr>
      </w:pPr>
      <w:r>
        <w:rPr>
          <w:rFonts w:hint="eastAsia"/>
          <w:b/>
          <w:sz w:val="22"/>
          <w:szCs w:val="22"/>
          <w:lang w:val="en-GB"/>
        </w:rPr>
        <w:t xml:space="preserve">1. </w:t>
      </w:r>
      <w:r w:rsidRPr="00711C16">
        <w:rPr>
          <w:b/>
          <w:sz w:val="22"/>
          <w:szCs w:val="22"/>
          <w:lang w:val="en-GB"/>
        </w:rPr>
        <w:t>Technical content/scope</w:t>
      </w:r>
    </w:p>
    <w:p w:rsidR="00711C16" w:rsidRPr="00711C16" w:rsidRDefault="00711C16" w:rsidP="00711C16">
      <w:pPr>
        <w:ind w:left="709"/>
        <w:rPr>
          <w:sz w:val="22"/>
          <w:szCs w:val="22"/>
          <w:lang w:val="en-GB"/>
        </w:rPr>
      </w:pPr>
      <w:r w:rsidRPr="00711C16">
        <w:rPr>
          <w:sz w:val="22"/>
          <w:szCs w:val="22"/>
          <w:lang w:val="en-GB"/>
        </w:rPr>
        <w:t>The sector of advanced materials for energy is an important economic and employment generator in Europe. Sustained innovation by research and development projects will reinforce its economic value.</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New and advanced materials are essential to achieving the goals of a low carbon economy. Materials are an integral part of the solution for addressing the Energy and Climate Change Challenges. Currently over 80 % of Europe’s energy use is based on oil, gas and coal. The European Strategic Energy Technology Plan (SET Plan)</w:t>
      </w:r>
      <w:r w:rsidRPr="00711C16">
        <w:rPr>
          <w:sz w:val="22"/>
          <w:szCs w:val="22"/>
          <w:vertAlign w:val="superscript"/>
          <w:lang w:val="en-GB"/>
        </w:rPr>
        <w:footnoteReference w:id="1"/>
      </w:r>
      <w:r w:rsidRPr="00711C16">
        <w:rPr>
          <w:sz w:val="22"/>
          <w:szCs w:val="22"/>
          <w:lang w:val="en-GB"/>
        </w:rPr>
        <w:t xml:space="preserve"> recognises this situation and emphasises the growing need for cost-competitive low carbon energy and energy efficiency technologies. The SET Plan Materials Road Map emphasises the pivotal enabling role of advanced materials and clearly outlines the medium to long term strategy for the coming years.</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The scope of this call is to develop advanced materials or material systems with improved physical, chemical and mechanical properties leading to advances on the following topics:</w:t>
      </w:r>
    </w:p>
    <w:p w:rsidR="00711C16" w:rsidRPr="00711C16" w:rsidRDefault="00711C16" w:rsidP="00711C16">
      <w:pPr>
        <w:ind w:left="709"/>
        <w:rPr>
          <w:sz w:val="22"/>
          <w:szCs w:val="22"/>
          <w:lang w:val="en-GB"/>
        </w:rPr>
      </w:pPr>
    </w:p>
    <w:p w:rsidR="00711C16" w:rsidRPr="00711C16" w:rsidRDefault="00711C16" w:rsidP="00DD7F3B">
      <w:pPr>
        <w:widowControl/>
        <w:numPr>
          <w:ilvl w:val="0"/>
          <w:numId w:val="13"/>
        </w:numPr>
        <w:rPr>
          <w:sz w:val="22"/>
          <w:szCs w:val="22"/>
          <w:lang w:val="en-GB"/>
        </w:rPr>
      </w:pPr>
      <w:r w:rsidRPr="00711C16">
        <w:rPr>
          <w:sz w:val="22"/>
          <w:szCs w:val="22"/>
          <w:lang w:val="en-GB"/>
        </w:rPr>
        <w:t>Materials for energy efficient buildings and industrial processes (for example: advanced insulation materials...)</w:t>
      </w:r>
    </w:p>
    <w:p w:rsidR="00711C16" w:rsidRPr="00711C16" w:rsidRDefault="00711C16" w:rsidP="00DD7F3B">
      <w:pPr>
        <w:widowControl/>
        <w:numPr>
          <w:ilvl w:val="0"/>
          <w:numId w:val="13"/>
        </w:numPr>
        <w:rPr>
          <w:sz w:val="22"/>
          <w:szCs w:val="22"/>
          <w:lang w:val="en-GB"/>
        </w:rPr>
      </w:pPr>
      <w:r w:rsidRPr="00711C16">
        <w:rPr>
          <w:sz w:val="22"/>
          <w:szCs w:val="22"/>
          <w:lang w:val="en-GB"/>
        </w:rPr>
        <w:t>Energy efficiency by reducing consumption (for example: materials for high efficiency / high brightness lighting (LEDs / OLEDs), materials for high power electronics in converters…)</w:t>
      </w:r>
    </w:p>
    <w:p w:rsidR="00711C16" w:rsidRPr="00711C16" w:rsidRDefault="00711C16" w:rsidP="00DD7F3B">
      <w:pPr>
        <w:widowControl/>
        <w:numPr>
          <w:ilvl w:val="0"/>
          <w:numId w:val="13"/>
        </w:numPr>
        <w:rPr>
          <w:sz w:val="22"/>
          <w:szCs w:val="22"/>
          <w:lang w:val="en-GB"/>
        </w:rPr>
      </w:pPr>
      <w:r w:rsidRPr="00711C16">
        <w:rPr>
          <w:sz w:val="22"/>
          <w:szCs w:val="22"/>
          <w:lang w:val="en-GB"/>
        </w:rPr>
        <w:t xml:space="preserve">Solar energy generation (for example: materials for </w:t>
      </w:r>
      <w:proofErr w:type="spellStart"/>
      <w:r w:rsidRPr="00711C16">
        <w:rPr>
          <w:sz w:val="22"/>
          <w:szCs w:val="22"/>
          <w:lang w:val="en-GB"/>
        </w:rPr>
        <w:t>photovoltaics</w:t>
      </w:r>
      <w:proofErr w:type="spellEnd"/>
      <w:r w:rsidRPr="00711C16">
        <w:rPr>
          <w:sz w:val="22"/>
          <w:szCs w:val="22"/>
          <w:lang w:val="en-GB"/>
        </w:rPr>
        <w:t xml:space="preserve"> and concentrated </w:t>
      </w:r>
      <w:proofErr w:type="spellStart"/>
      <w:r w:rsidRPr="00711C16">
        <w:rPr>
          <w:sz w:val="22"/>
          <w:szCs w:val="22"/>
          <w:lang w:val="en-GB"/>
        </w:rPr>
        <w:t>photovoltaics</w:t>
      </w:r>
      <w:proofErr w:type="spellEnd"/>
      <w:r w:rsidRPr="00711C16">
        <w:rPr>
          <w:sz w:val="22"/>
          <w:szCs w:val="22"/>
          <w:lang w:val="en-GB"/>
        </w:rPr>
        <w:t>)</w:t>
      </w:r>
    </w:p>
    <w:p w:rsidR="00711C16" w:rsidRPr="00711C16" w:rsidRDefault="00711C16" w:rsidP="00DD7F3B">
      <w:pPr>
        <w:widowControl/>
        <w:numPr>
          <w:ilvl w:val="0"/>
          <w:numId w:val="13"/>
        </w:numPr>
        <w:rPr>
          <w:sz w:val="22"/>
          <w:szCs w:val="22"/>
          <w:lang w:val="en-GB"/>
        </w:rPr>
      </w:pPr>
      <w:r w:rsidRPr="00711C16">
        <w:rPr>
          <w:sz w:val="22"/>
          <w:szCs w:val="22"/>
          <w:lang w:val="en-GB"/>
        </w:rPr>
        <w:t>Mechanical energy generation (for example: materials for wind energy, ocean energy...)</w:t>
      </w:r>
    </w:p>
    <w:p w:rsidR="00711C16" w:rsidRPr="00711C16" w:rsidRDefault="00711C16" w:rsidP="00DD7F3B">
      <w:pPr>
        <w:widowControl/>
        <w:numPr>
          <w:ilvl w:val="0"/>
          <w:numId w:val="13"/>
        </w:numPr>
        <w:rPr>
          <w:sz w:val="22"/>
          <w:szCs w:val="22"/>
          <w:lang w:val="en-GB"/>
        </w:rPr>
      </w:pPr>
      <w:r w:rsidRPr="00711C16">
        <w:rPr>
          <w:sz w:val="22"/>
          <w:szCs w:val="22"/>
          <w:lang w:val="en-GB"/>
        </w:rPr>
        <w:t>Other energy generation (for example: materials for thermoelectric energy, fuel cells, geothermal energy…)</w:t>
      </w:r>
    </w:p>
    <w:p w:rsidR="00711C16" w:rsidRPr="00711C16" w:rsidRDefault="00711C16" w:rsidP="00DD7F3B">
      <w:pPr>
        <w:widowControl/>
        <w:numPr>
          <w:ilvl w:val="0"/>
          <w:numId w:val="13"/>
        </w:numPr>
        <w:rPr>
          <w:sz w:val="22"/>
          <w:szCs w:val="22"/>
          <w:lang w:val="en-GB"/>
        </w:rPr>
      </w:pPr>
      <w:r w:rsidRPr="00711C16">
        <w:rPr>
          <w:sz w:val="22"/>
          <w:szCs w:val="22"/>
          <w:lang w:val="en-GB"/>
        </w:rPr>
        <w:t>Energy storage (for example: materials for electro-chemical energy storage, chemical energy storage, “solar” fuels, mechanical energy storage, molten salts…)</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The research proposals should give sufficient attention to mid- or long term industrial feasibility, reliability, durability and full life cycle analysis (LCA). The materials development should aim to a future decrease in cost of energy, combined with lower carbon emissions.</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A proposal must also consider, demonstrate and clarify its added value and impact, and where appropriate, its alignment with the SET Plan materials Roadmap. The proposal has to position itself on the Technology Readiness Level (TRL, see Annex 2</w:t>
      </w:r>
      <w:r>
        <w:rPr>
          <w:rFonts w:hint="eastAsia"/>
          <w:sz w:val="22"/>
          <w:szCs w:val="22"/>
          <w:lang w:val="en-GB"/>
        </w:rPr>
        <w:t xml:space="preserve"> of </w:t>
      </w:r>
      <w:r w:rsidRPr="00711C16">
        <w:rPr>
          <w:sz w:val="22"/>
          <w:szCs w:val="22"/>
          <w:lang w:val="en-GB"/>
        </w:rPr>
        <w:t>Guide for Proposers) scale with clear start and envisioned end point as well as a potential roadmap towards an existing or future end-market.</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For basic research programmes (lower TRL), the establishment of an industrial advisory board is highly recommended to ensure the relevance of the research. For higher TRL, integration of industrial partners who manufacture or use the advanced material is strongly recommended.</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In case the research proposal intends to make use of critical and potentially scarce raw materials – see critical raw materials for EU</w:t>
      </w:r>
      <w:r w:rsidRPr="00711C16">
        <w:rPr>
          <w:sz w:val="22"/>
          <w:szCs w:val="22"/>
          <w:vertAlign w:val="superscript"/>
          <w:lang w:val="en-GB"/>
        </w:rPr>
        <w:footnoteReference w:id="2"/>
      </w:r>
      <w:r w:rsidRPr="00711C16">
        <w:rPr>
          <w:sz w:val="22"/>
          <w:szCs w:val="22"/>
          <w:lang w:val="en-GB"/>
        </w:rPr>
        <w:t xml:space="preserve"> - the applicants are requested to present a justification for this choice. Projects may also address substitution or recycling of such critical or scarce materials.</w:t>
      </w:r>
    </w:p>
    <w:p w:rsidR="00711C16" w:rsidRPr="00711C16" w:rsidRDefault="00711C16" w:rsidP="00711C16">
      <w:pPr>
        <w:ind w:left="709"/>
        <w:rPr>
          <w:b/>
          <w:sz w:val="22"/>
          <w:szCs w:val="22"/>
          <w:lang w:val="en-GB"/>
        </w:rPr>
      </w:pPr>
    </w:p>
    <w:p w:rsidR="00711C16" w:rsidRPr="00711C16" w:rsidRDefault="00711C16" w:rsidP="00711C16">
      <w:pPr>
        <w:ind w:left="709"/>
        <w:rPr>
          <w:b/>
          <w:sz w:val="22"/>
          <w:szCs w:val="22"/>
          <w:lang w:val="en-GB"/>
        </w:rPr>
      </w:pPr>
      <w:r>
        <w:rPr>
          <w:rFonts w:hint="eastAsia"/>
          <w:b/>
          <w:sz w:val="22"/>
          <w:szCs w:val="22"/>
          <w:lang w:val="en-GB"/>
        </w:rPr>
        <w:t xml:space="preserve">2. </w:t>
      </w:r>
      <w:r w:rsidRPr="00711C16">
        <w:rPr>
          <w:b/>
          <w:sz w:val="22"/>
          <w:szCs w:val="22"/>
          <w:lang w:val="en-GB"/>
        </w:rPr>
        <w:t>Expected impact</w:t>
      </w:r>
    </w:p>
    <w:p w:rsidR="00711C16" w:rsidRPr="00711C16" w:rsidRDefault="00711C16" w:rsidP="00DD7F3B">
      <w:pPr>
        <w:widowControl/>
        <w:numPr>
          <w:ilvl w:val="0"/>
          <w:numId w:val="14"/>
        </w:numPr>
        <w:rPr>
          <w:sz w:val="22"/>
          <w:szCs w:val="22"/>
          <w:lang w:val="en-GB"/>
        </w:rPr>
      </w:pPr>
      <w:r w:rsidRPr="00711C16">
        <w:rPr>
          <w:sz w:val="22"/>
          <w:szCs w:val="22"/>
          <w:lang w:val="en-GB"/>
        </w:rPr>
        <w:t>Support to meet the European strategic policy targets in terms of CO</w:t>
      </w:r>
      <w:r w:rsidRPr="00711C16">
        <w:rPr>
          <w:sz w:val="22"/>
          <w:szCs w:val="22"/>
          <w:vertAlign w:val="subscript"/>
          <w:lang w:val="en-GB"/>
        </w:rPr>
        <w:t>2</w:t>
      </w:r>
      <w:r w:rsidRPr="00711C16">
        <w:rPr>
          <w:sz w:val="22"/>
          <w:szCs w:val="22"/>
          <w:lang w:val="en-GB"/>
        </w:rPr>
        <w:t xml:space="preserve"> reduction and developing affordable sustainable energy usage.</w:t>
      </w:r>
    </w:p>
    <w:p w:rsidR="00711C16" w:rsidRPr="00711C16" w:rsidRDefault="00711C16" w:rsidP="00DD7F3B">
      <w:pPr>
        <w:widowControl/>
        <w:numPr>
          <w:ilvl w:val="0"/>
          <w:numId w:val="14"/>
        </w:numPr>
        <w:rPr>
          <w:sz w:val="22"/>
          <w:szCs w:val="22"/>
          <w:lang w:val="en-GB"/>
        </w:rPr>
      </w:pPr>
      <w:r w:rsidRPr="00711C16">
        <w:rPr>
          <w:sz w:val="22"/>
          <w:szCs w:val="22"/>
          <w:lang w:val="en-GB"/>
        </w:rPr>
        <w:t>Improved competitiveness and strengthened industrial leadership.</w:t>
      </w:r>
    </w:p>
    <w:p w:rsidR="00711C16" w:rsidRPr="00711C16" w:rsidRDefault="00711C16" w:rsidP="00DD7F3B">
      <w:pPr>
        <w:widowControl/>
        <w:numPr>
          <w:ilvl w:val="0"/>
          <w:numId w:val="14"/>
        </w:numPr>
        <w:rPr>
          <w:sz w:val="22"/>
          <w:szCs w:val="22"/>
          <w:lang w:val="en-GB"/>
        </w:rPr>
      </w:pPr>
      <w:r w:rsidRPr="00711C16">
        <w:rPr>
          <w:sz w:val="22"/>
          <w:szCs w:val="22"/>
          <w:lang w:val="en-GB"/>
        </w:rPr>
        <w:t>Innovation excellence of the European academia and research institutes.</w:t>
      </w:r>
    </w:p>
    <w:p w:rsidR="00711C16" w:rsidRDefault="00711C16" w:rsidP="00711C16">
      <w:pPr>
        <w:ind w:left="709"/>
        <w:rPr>
          <w:rFonts w:hint="eastAsia"/>
          <w:b/>
          <w:sz w:val="22"/>
          <w:szCs w:val="22"/>
          <w:lang w:val="en-GB"/>
        </w:rPr>
      </w:pPr>
    </w:p>
    <w:p w:rsidR="00702C26" w:rsidRPr="00711C16" w:rsidRDefault="00702C26" w:rsidP="00711C16">
      <w:pPr>
        <w:ind w:left="709"/>
        <w:rPr>
          <w:b/>
          <w:sz w:val="22"/>
          <w:szCs w:val="22"/>
          <w:lang w:val="en-GB"/>
        </w:rPr>
      </w:pPr>
    </w:p>
    <w:p w:rsidR="00711C16" w:rsidRPr="00711C16" w:rsidRDefault="00711C16" w:rsidP="00711C16">
      <w:pPr>
        <w:ind w:left="709"/>
        <w:rPr>
          <w:b/>
          <w:sz w:val="22"/>
          <w:szCs w:val="22"/>
          <w:lang w:val="en-GB"/>
        </w:rPr>
      </w:pPr>
      <w:r>
        <w:rPr>
          <w:rFonts w:hint="eastAsia"/>
          <w:b/>
          <w:sz w:val="22"/>
          <w:szCs w:val="22"/>
          <w:lang w:val="en-GB"/>
        </w:rPr>
        <w:t xml:space="preserve">3. </w:t>
      </w:r>
      <w:r w:rsidRPr="00711C16">
        <w:rPr>
          <w:b/>
          <w:sz w:val="22"/>
          <w:szCs w:val="22"/>
          <w:lang w:val="en-GB"/>
        </w:rPr>
        <w:t>Target groups</w:t>
      </w:r>
    </w:p>
    <w:p w:rsidR="00711C16" w:rsidRPr="00711C16" w:rsidRDefault="00711C16" w:rsidP="00711C16">
      <w:pPr>
        <w:ind w:left="709"/>
        <w:rPr>
          <w:sz w:val="22"/>
          <w:szCs w:val="22"/>
          <w:lang w:val="en-GB"/>
        </w:rPr>
      </w:pPr>
      <w:r w:rsidRPr="00711C16">
        <w:rPr>
          <w:sz w:val="22"/>
          <w:szCs w:val="22"/>
          <w:lang w:val="en-GB"/>
        </w:rPr>
        <w:t xml:space="preserve">This topic is targeted to all groups in the innovation chain: fundamental research, applied research, industrial R&amp;D. The particular subject of the proposal deals with the establishment of a strong collaboration between research entities, SMEs and large industry. Consortia focusing only on fundamental research or industrial R&amp;D are also eligible. </w:t>
      </w:r>
    </w:p>
    <w:p w:rsidR="006B06EB" w:rsidRPr="00711C16" w:rsidRDefault="006B06EB" w:rsidP="00711C16">
      <w:pPr>
        <w:ind w:leftChars="236" w:left="566"/>
        <w:rPr>
          <w:b/>
          <w:lang w:val="en-GB"/>
        </w:rPr>
      </w:pPr>
    </w:p>
    <w:p w:rsidR="00883E17" w:rsidRPr="00B3586F" w:rsidRDefault="00883E17" w:rsidP="008A2A7A">
      <w:pPr>
        <w:jc w:val="both"/>
        <w:rPr>
          <w:b/>
        </w:rPr>
      </w:pPr>
      <w:r w:rsidRPr="00B3586F">
        <w:rPr>
          <w:rFonts w:hint="eastAsia"/>
          <w:b/>
        </w:rPr>
        <w:t>(</w:t>
      </w:r>
      <w:r w:rsidR="006B06EB">
        <w:rPr>
          <w:rFonts w:hint="eastAsia"/>
          <w:b/>
        </w:rPr>
        <w:t>五</w:t>
      </w:r>
      <w:proofErr w:type="gramStart"/>
      <w:r w:rsidRPr="00B3586F">
        <w:rPr>
          <w:rFonts w:hint="eastAsia"/>
          <w:b/>
        </w:rPr>
        <w:t>）</w:t>
      </w:r>
      <w:proofErr w:type="gramEnd"/>
      <w:r w:rsidRPr="00B3586F">
        <w:rPr>
          <w:rFonts w:hint="eastAsia"/>
          <w:b/>
        </w:rPr>
        <w:t>健康</w:t>
      </w:r>
      <w:r w:rsidR="003B50D5">
        <w:rPr>
          <w:rFonts w:hint="eastAsia"/>
          <w:b/>
        </w:rPr>
        <w:t>及</w:t>
      </w:r>
      <w:r w:rsidRPr="00B3586F">
        <w:rPr>
          <w:rFonts w:hint="eastAsia"/>
          <w:b/>
        </w:rPr>
        <w:t>衛生材料</w:t>
      </w:r>
      <w:r w:rsidRPr="00B3586F">
        <w:rPr>
          <w:rFonts w:hint="eastAsia"/>
          <w:b/>
        </w:rPr>
        <w:t xml:space="preserve"> (Materials for Health)</w:t>
      </w:r>
    </w:p>
    <w:p w:rsidR="00711C16" w:rsidRPr="00711C16" w:rsidRDefault="00711C16" w:rsidP="00711C16">
      <w:pPr>
        <w:ind w:left="709"/>
        <w:rPr>
          <w:b/>
          <w:sz w:val="22"/>
          <w:szCs w:val="22"/>
          <w:lang w:val="en-GB"/>
        </w:rPr>
      </w:pPr>
      <w:r>
        <w:rPr>
          <w:rFonts w:hint="eastAsia"/>
          <w:b/>
          <w:sz w:val="22"/>
          <w:szCs w:val="22"/>
          <w:lang w:val="en-GB"/>
        </w:rPr>
        <w:br/>
        <w:t xml:space="preserve">1. </w:t>
      </w:r>
      <w:r w:rsidRPr="00711C16">
        <w:rPr>
          <w:b/>
          <w:sz w:val="22"/>
          <w:szCs w:val="22"/>
          <w:lang w:val="en-GB"/>
        </w:rPr>
        <w:t>Technical content/scope</w:t>
      </w:r>
    </w:p>
    <w:p w:rsidR="00711C16" w:rsidRPr="00711C16" w:rsidRDefault="00711C16" w:rsidP="00711C16">
      <w:pPr>
        <w:ind w:left="709"/>
        <w:rPr>
          <w:sz w:val="22"/>
          <w:szCs w:val="22"/>
          <w:lang w:val="en-GB"/>
        </w:rPr>
      </w:pPr>
      <w:r w:rsidRPr="00711C16">
        <w:rPr>
          <w:sz w:val="22"/>
          <w:szCs w:val="22"/>
          <w:lang w:val="en-GB"/>
        </w:rPr>
        <w:t xml:space="preserve">Wellness and healthy ageing of the European population will require new or improved solutions to health-related issues. Many of those solutions will come from the development of new advanced materials as key components of diagnostics (contrast agents, substrates for immunoassays, sensors) and therapeutics products (implants, tissue regeneration strategies, advanced therapies, etc.). </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The objective of this call topic is to provide opportunities to advance application-driven, material-based technologies closer to the market. This action is aligned with societal challenge regarding “Health, Demographic Change and Wellbeing” as defined in the H2020 framework. It is also in agreement with the recognition of advanced materials as a key enabling technology for strengthening the competitiveness of the European industry.</w:t>
      </w:r>
    </w:p>
    <w:p w:rsidR="00711C16" w:rsidRPr="00711C16" w:rsidRDefault="00711C16" w:rsidP="00711C16">
      <w:pPr>
        <w:ind w:left="709"/>
        <w:rPr>
          <w:sz w:val="22"/>
          <w:szCs w:val="22"/>
          <w:lang w:val="en-GB"/>
        </w:rPr>
      </w:pPr>
    </w:p>
    <w:p w:rsidR="00711C16" w:rsidRPr="00711C16" w:rsidRDefault="00711C16" w:rsidP="00711C16">
      <w:pPr>
        <w:ind w:left="709"/>
        <w:rPr>
          <w:sz w:val="22"/>
          <w:szCs w:val="22"/>
          <w:lang w:val="en-GB"/>
        </w:rPr>
      </w:pPr>
      <w:r w:rsidRPr="00711C16">
        <w:rPr>
          <w:sz w:val="22"/>
          <w:szCs w:val="22"/>
          <w:lang w:val="en-GB"/>
        </w:rPr>
        <w:t>Following the strategy laid out in the M-ERA-NET work programme 2013, the proposals expected within the 2014 call should address development, improvement or functionalization of materials and/or materials based micro-</w:t>
      </w:r>
      <w:proofErr w:type="spellStart"/>
      <w:r w:rsidRPr="00711C16">
        <w:rPr>
          <w:sz w:val="22"/>
          <w:szCs w:val="22"/>
          <w:lang w:val="en-GB"/>
        </w:rPr>
        <w:t>nano</w:t>
      </w:r>
      <w:proofErr w:type="spellEnd"/>
      <w:r w:rsidRPr="00711C16">
        <w:rPr>
          <w:sz w:val="22"/>
          <w:szCs w:val="22"/>
          <w:lang w:val="en-GB"/>
        </w:rPr>
        <w:t xml:space="preserve"> devices for </w:t>
      </w:r>
      <w:r w:rsidRPr="00711C16">
        <w:rPr>
          <w:i/>
          <w:sz w:val="22"/>
          <w:szCs w:val="22"/>
          <w:lang w:val="en-GB"/>
        </w:rPr>
        <w:t>in vivo</w:t>
      </w:r>
      <w:r w:rsidRPr="00711C16">
        <w:rPr>
          <w:sz w:val="22"/>
          <w:szCs w:val="22"/>
          <w:lang w:val="en-GB"/>
        </w:rPr>
        <w:t xml:space="preserve"> applications in the following two areas:</w:t>
      </w:r>
    </w:p>
    <w:p w:rsidR="00711C16" w:rsidRPr="00711C16" w:rsidRDefault="00711C16" w:rsidP="00DD7F3B">
      <w:pPr>
        <w:widowControl/>
        <w:numPr>
          <w:ilvl w:val="0"/>
          <w:numId w:val="15"/>
        </w:numPr>
        <w:rPr>
          <w:sz w:val="22"/>
          <w:szCs w:val="22"/>
          <w:lang w:val="en-GB"/>
        </w:rPr>
      </w:pPr>
      <w:r w:rsidRPr="00711C16">
        <w:rPr>
          <w:sz w:val="22"/>
          <w:szCs w:val="22"/>
          <w:lang w:val="en-GB"/>
        </w:rPr>
        <w:t>Contrast agent materials for medical imaging</w:t>
      </w:r>
    </w:p>
    <w:p w:rsidR="00711C16" w:rsidRPr="00711C16" w:rsidRDefault="00711C16" w:rsidP="00DD7F3B">
      <w:pPr>
        <w:widowControl/>
        <w:numPr>
          <w:ilvl w:val="0"/>
          <w:numId w:val="15"/>
        </w:numPr>
        <w:rPr>
          <w:sz w:val="22"/>
          <w:szCs w:val="22"/>
          <w:lang w:val="en-GB"/>
        </w:rPr>
      </w:pPr>
      <w:r w:rsidRPr="00711C16">
        <w:rPr>
          <w:sz w:val="22"/>
          <w:szCs w:val="22"/>
          <w:lang w:val="en-GB"/>
        </w:rPr>
        <w:t>Materials for tissue regeneration and/or advanced cell therapies.</w:t>
      </w:r>
    </w:p>
    <w:p w:rsidR="00711C16" w:rsidRPr="00711C16" w:rsidRDefault="00711C16" w:rsidP="00711C16">
      <w:pPr>
        <w:ind w:left="709"/>
        <w:rPr>
          <w:b/>
          <w:sz w:val="22"/>
          <w:szCs w:val="22"/>
          <w:lang w:val="en-GB"/>
        </w:rPr>
      </w:pPr>
    </w:p>
    <w:p w:rsidR="00711C16" w:rsidRPr="00711C16" w:rsidRDefault="00711C16" w:rsidP="00711C16">
      <w:pPr>
        <w:ind w:left="709"/>
        <w:rPr>
          <w:sz w:val="22"/>
          <w:szCs w:val="22"/>
          <w:lang w:val="en-GB"/>
        </w:rPr>
      </w:pPr>
      <w:r w:rsidRPr="00711C16">
        <w:rPr>
          <w:sz w:val="22"/>
          <w:szCs w:val="22"/>
          <w:lang w:val="en-GB"/>
        </w:rPr>
        <w:t>The proposals should address the following:</w:t>
      </w:r>
    </w:p>
    <w:p w:rsidR="00711C16" w:rsidRPr="00711C16" w:rsidRDefault="00711C16" w:rsidP="00DD7F3B">
      <w:pPr>
        <w:widowControl/>
        <w:numPr>
          <w:ilvl w:val="0"/>
          <w:numId w:val="16"/>
        </w:numPr>
        <w:rPr>
          <w:sz w:val="22"/>
          <w:szCs w:val="22"/>
          <w:lang w:val="en-GB"/>
        </w:rPr>
      </w:pPr>
      <w:r w:rsidRPr="00711C16">
        <w:rPr>
          <w:sz w:val="22"/>
          <w:szCs w:val="22"/>
          <w:lang w:val="en-GB"/>
        </w:rPr>
        <w:t>Biocompatibility studies for novel or chemically modified materials should be included in the proposal. In particular, interaction of materials with appropriate body tissues or fluids should be considered where applicable, as well as absorption, distribution, excretion and metabolism studies.</w:t>
      </w:r>
    </w:p>
    <w:p w:rsidR="00711C16" w:rsidRPr="00711C16" w:rsidRDefault="00711C16" w:rsidP="00DD7F3B">
      <w:pPr>
        <w:widowControl/>
        <w:numPr>
          <w:ilvl w:val="0"/>
          <w:numId w:val="16"/>
        </w:numPr>
        <w:rPr>
          <w:sz w:val="22"/>
          <w:szCs w:val="22"/>
          <w:lang w:val="en-GB"/>
        </w:rPr>
      </w:pPr>
      <w:r w:rsidRPr="00711C16">
        <w:rPr>
          <w:sz w:val="22"/>
          <w:szCs w:val="22"/>
          <w:lang w:val="en-GB"/>
        </w:rPr>
        <w:t>The market potential for the proposed technical solutions should be evaluated.</w:t>
      </w:r>
    </w:p>
    <w:p w:rsidR="00711C16" w:rsidRPr="00711C16" w:rsidRDefault="00711C16" w:rsidP="00DD7F3B">
      <w:pPr>
        <w:widowControl/>
        <w:numPr>
          <w:ilvl w:val="0"/>
          <w:numId w:val="16"/>
        </w:numPr>
        <w:rPr>
          <w:sz w:val="22"/>
          <w:szCs w:val="22"/>
          <w:lang w:val="en-GB"/>
        </w:rPr>
      </w:pPr>
      <w:r w:rsidRPr="00711C16">
        <w:rPr>
          <w:sz w:val="22"/>
          <w:szCs w:val="22"/>
          <w:lang w:val="en-GB"/>
        </w:rPr>
        <w:t>Adequate resources should be provisioned to deal with the relevant regulatory hurdles during the course of the project.</w:t>
      </w:r>
    </w:p>
    <w:p w:rsidR="00711C16" w:rsidRPr="00711C16" w:rsidRDefault="00711C16" w:rsidP="00DD7F3B">
      <w:pPr>
        <w:widowControl/>
        <w:numPr>
          <w:ilvl w:val="0"/>
          <w:numId w:val="16"/>
        </w:numPr>
        <w:rPr>
          <w:sz w:val="22"/>
          <w:szCs w:val="22"/>
          <w:lang w:val="en-GB"/>
        </w:rPr>
      </w:pPr>
      <w:r w:rsidRPr="00711C16">
        <w:rPr>
          <w:sz w:val="22"/>
          <w:szCs w:val="22"/>
          <w:lang w:val="en-GB"/>
        </w:rPr>
        <w:t>Where relevant, adequate consideration should be given to the future scaling-up of the proposed processes and to the possible industrialization of a final product.</w:t>
      </w:r>
    </w:p>
    <w:p w:rsidR="00711C16" w:rsidRPr="00711C16" w:rsidRDefault="00711C16" w:rsidP="00DD7F3B">
      <w:pPr>
        <w:widowControl/>
        <w:numPr>
          <w:ilvl w:val="0"/>
          <w:numId w:val="16"/>
        </w:numPr>
        <w:rPr>
          <w:sz w:val="22"/>
          <w:szCs w:val="22"/>
          <w:lang w:val="en-GB"/>
        </w:rPr>
      </w:pPr>
      <w:r w:rsidRPr="00711C16">
        <w:rPr>
          <w:sz w:val="22"/>
          <w:szCs w:val="22"/>
          <w:lang w:val="en-GB"/>
        </w:rPr>
        <w:t>Efforts should also be made to position the project’s starting and estimate the expected end points on the Technology Readiness Level (TRL) scale as well as an estimation of the time needed to reach the market (see Annex 2).</w:t>
      </w:r>
    </w:p>
    <w:p w:rsidR="00711C16" w:rsidRPr="00711C16" w:rsidRDefault="00711C16" w:rsidP="00711C16">
      <w:pPr>
        <w:ind w:left="709"/>
        <w:rPr>
          <w:sz w:val="22"/>
          <w:szCs w:val="22"/>
          <w:lang w:val="en-GB"/>
        </w:rPr>
      </w:pPr>
      <w:r w:rsidRPr="00711C16">
        <w:rPr>
          <w:sz w:val="22"/>
          <w:szCs w:val="22"/>
          <w:lang w:val="en-GB"/>
        </w:rPr>
        <w:t xml:space="preserve"> Moreover, the proposals are strongly encouraged to consider the following issues:</w:t>
      </w:r>
    </w:p>
    <w:p w:rsidR="00711C16" w:rsidRPr="00711C16" w:rsidRDefault="00711C16" w:rsidP="00DD7F3B">
      <w:pPr>
        <w:widowControl/>
        <w:numPr>
          <w:ilvl w:val="0"/>
          <w:numId w:val="17"/>
        </w:numPr>
        <w:rPr>
          <w:sz w:val="22"/>
          <w:szCs w:val="22"/>
          <w:lang w:val="en-GB"/>
        </w:rPr>
      </w:pPr>
      <w:r w:rsidRPr="00711C16">
        <w:rPr>
          <w:sz w:val="22"/>
          <w:szCs w:val="22"/>
          <w:lang w:val="en-GB"/>
        </w:rPr>
        <w:t>Pre-clinical proof of concept (</w:t>
      </w:r>
      <w:r w:rsidRPr="00711C16">
        <w:rPr>
          <w:i/>
          <w:sz w:val="22"/>
          <w:szCs w:val="22"/>
          <w:lang w:val="en-GB"/>
        </w:rPr>
        <w:t>in vitro</w:t>
      </w:r>
      <w:r w:rsidRPr="00711C16">
        <w:rPr>
          <w:sz w:val="22"/>
          <w:szCs w:val="22"/>
          <w:lang w:val="en-GB"/>
        </w:rPr>
        <w:t xml:space="preserve"> testing and/or assays in small animals)</w:t>
      </w:r>
    </w:p>
    <w:p w:rsidR="00711C16" w:rsidRPr="00711C16" w:rsidRDefault="00711C16" w:rsidP="00DD7F3B">
      <w:pPr>
        <w:widowControl/>
        <w:numPr>
          <w:ilvl w:val="0"/>
          <w:numId w:val="17"/>
        </w:numPr>
        <w:rPr>
          <w:sz w:val="22"/>
          <w:szCs w:val="22"/>
          <w:lang w:val="en-GB"/>
        </w:rPr>
      </w:pPr>
      <w:r w:rsidRPr="00711C16">
        <w:rPr>
          <w:sz w:val="22"/>
          <w:szCs w:val="22"/>
          <w:lang w:val="en-GB"/>
        </w:rPr>
        <w:t>Cross collaboration between biologists, medical doctors and materials scientists</w:t>
      </w:r>
    </w:p>
    <w:p w:rsidR="00711C16" w:rsidRPr="00711C16" w:rsidRDefault="00711C16" w:rsidP="00DD7F3B">
      <w:pPr>
        <w:widowControl/>
        <w:numPr>
          <w:ilvl w:val="0"/>
          <w:numId w:val="17"/>
        </w:numPr>
        <w:rPr>
          <w:sz w:val="22"/>
          <w:szCs w:val="22"/>
          <w:lang w:val="en-GB"/>
        </w:rPr>
      </w:pPr>
      <w:r w:rsidRPr="00711C16">
        <w:rPr>
          <w:sz w:val="22"/>
          <w:szCs w:val="22"/>
          <w:lang w:val="en-GB"/>
        </w:rPr>
        <w:t>Involvement of SMEs and/or industrial partners</w:t>
      </w:r>
    </w:p>
    <w:p w:rsidR="00711C16" w:rsidRPr="00711C16" w:rsidRDefault="00711C16" w:rsidP="00DD7F3B">
      <w:pPr>
        <w:widowControl/>
        <w:numPr>
          <w:ilvl w:val="0"/>
          <w:numId w:val="17"/>
        </w:numPr>
        <w:rPr>
          <w:sz w:val="22"/>
          <w:szCs w:val="22"/>
          <w:lang w:val="en-GB"/>
        </w:rPr>
      </w:pPr>
      <w:r w:rsidRPr="00711C16">
        <w:rPr>
          <w:sz w:val="22"/>
          <w:szCs w:val="22"/>
          <w:lang w:val="en-GB"/>
        </w:rPr>
        <w:t>International collaborations with leading research entities from M-ERA.NET-associated countries</w:t>
      </w:r>
    </w:p>
    <w:p w:rsidR="00711C16" w:rsidRPr="00711C16" w:rsidRDefault="00711C16" w:rsidP="00711C16">
      <w:pPr>
        <w:ind w:left="709"/>
        <w:rPr>
          <w:b/>
          <w:sz w:val="22"/>
          <w:szCs w:val="22"/>
          <w:lang w:val="en-GB"/>
        </w:rPr>
      </w:pPr>
    </w:p>
    <w:p w:rsidR="00711C16" w:rsidRPr="00711C16" w:rsidRDefault="00711C16" w:rsidP="00711C16">
      <w:pPr>
        <w:ind w:left="709"/>
        <w:rPr>
          <w:b/>
          <w:sz w:val="22"/>
          <w:szCs w:val="22"/>
          <w:lang w:val="en-GB"/>
        </w:rPr>
      </w:pPr>
      <w:r>
        <w:rPr>
          <w:rFonts w:hint="eastAsia"/>
          <w:b/>
          <w:sz w:val="22"/>
          <w:szCs w:val="22"/>
          <w:lang w:val="en-GB"/>
        </w:rPr>
        <w:t xml:space="preserve">2. </w:t>
      </w:r>
      <w:r w:rsidRPr="00711C16">
        <w:rPr>
          <w:b/>
          <w:sz w:val="22"/>
          <w:szCs w:val="22"/>
          <w:lang w:val="en-GB"/>
        </w:rPr>
        <w:t>Expected impact</w:t>
      </w:r>
    </w:p>
    <w:p w:rsidR="00711C16" w:rsidRPr="00711C16" w:rsidRDefault="00711C16" w:rsidP="00DD7F3B">
      <w:pPr>
        <w:widowControl/>
        <w:numPr>
          <w:ilvl w:val="0"/>
          <w:numId w:val="18"/>
        </w:numPr>
        <w:ind w:left="993" w:hanging="284"/>
        <w:rPr>
          <w:sz w:val="22"/>
          <w:szCs w:val="22"/>
          <w:lang w:val="en-GB"/>
        </w:rPr>
      </w:pPr>
      <w:r w:rsidRPr="00711C16">
        <w:rPr>
          <w:sz w:val="22"/>
          <w:szCs w:val="22"/>
          <w:lang w:val="en-GB"/>
        </w:rPr>
        <w:t>Production of new or improved materials for health that deliver enhanced performance and/or enhanced cost/benefit ratio.</w:t>
      </w:r>
    </w:p>
    <w:p w:rsidR="00711C16" w:rsidRPr="00711C16" w:rsidRDefault="00711C16" w:rsidP="00DD7F3B">
      <w:pPr>
        <w:widowControl/>
        <w:numPr>
          <w:ilvl w:val="0"/>
          <w:numId w:val="18"/>
        </w:numPr>
        <w:ind w:left="993" w:hanging="284"/>
        <w:rPr>
          <w:sz w:val="22"/>
          <w:szCs w:val="22"/>
          <w:lang w:val="en-GB"/>
        </w:rPr>
      </w:pPr>
      <w:r w:rsidRPr="00711C16">
        <w:rPr>
          <w:sz w:val="22"/>
          <w:szCs w:val="22"/>
          <w:lang w:val="en-GB"/>
        </w:rPr>
        <w:t>Improved competitiveness of the European Health industry through a clear increase of the Technology Readiness Level for the proposed technologies.</w:t>
      </w:r>
    </w:p>
    <w:p w:rsidR="00711C16" w:rsidRPr="00711C16" w:rsidRDefault="00711C16" w:rsidP="00DD7F3B">
      <w:pPr>
        <w:widowControl/>
        <w:numPr>
          <w:ilvl w:val="0"/>
          <w:numId w:val="18"/>
        </w:numPr>
        <w:ind w:left="993" w:hanging="284"/>
        <w:rPr>
          <w:sz w:val="22"/>
          <w:szCs w:val="22"/>
          <w:lang w:val="en-GB"/>
        </w:rPr>
      </w:pPr>
      <w:r w:rsidRPr="00711C16">
        <w:rPr>
          <w:sz w:val="22"/>
          <w:szCs w:val="22"/>
          <w:lang w:val="en-GB"/>
        </w:rPr>
        <w:t xml:space="preserve">Improved market access through increased awareness on the part of the RTD performers and industrial partners of the regulatory protocols that must be followed before their materials reach the patients. </w:t>
      </w:r>
    </w:p>
    <w:p w:rsidR="00711C16" w:rsidRPr="00711C16" w:rsidRDefault="00711C16" w:rsidP="00DD7F3B">
      <w:pPr>
        <w:widowControl/>
        <w:numPr>
          <w:ilvl w:val="0"/>
          <w:numId w:val="18"/>
        </w:numPr>
        <w:ind w:left="993" w:hanging="284"/>
        <w:rPr>
          <w:sz w:val="22"/>
          <w:szCs w:val="22"/>
          <w:lang w:val="en-GB"/>
        </w:rPr>
      </w:pPr>
      <w:r w:rsidRPr="00711C16">
        <w:rPr>
          <w:sz w:val="22"/>
          <w:szCs w:val="22"/>
          <w:lang w:val="en-GB"/>
        </w:rPr>
        <w:t>Generation of a robust dialogue between RTD performers and industrial and medical stakeholders of the Health Sector.</w:t>
      </w:r>
    </w:p>
    <w:p w:rsidR="00711C16" w:rsidRPr="00711C16" w:rsidRDefault="00711C16" w:rsidP="00711C16">
      <w:pPr>
        <w:ind w:left="709"/>
        <w:rPr>
          <w:b/>
          <w:sz w:val="22"/>
          <w:szCs w:val="22"/>
          <w:lang w:val="en-GB"/>
        </w:rPr>
      </w:pPr>
    </w:p>
    <w:p w:rsidR="00711C16" w:rsidRPr="00711C16" w:rsidRDefault="00711C16" w:rsidP="00711C16">
      <w:pPr>
        <w:ind w:left="709"/>
        <w:rPr>
          <w:b/>
          <w:sz w:val="22"/>
          <w:szCs w:val="22"/>
          <w:lang w:val="en-GB"/>
        </w:rPr>
      </w:pPr>
      <w:r>
        <w:rPr>
          <w:rFonts w:hint="eastAsia"/>
          <w:b/>
          <w:sz w:val="22"/>
          <w:szCs w:val="22"/>
          <w:lang w:val="en-GB"/>
        </w:rPr>
        <w:t xml:space="preserve">3. </w:t>
      </w:r>
      <w:r w:rsidRPr="00711C16">
        <w:rPr>
          <w:b/>
          <w:sz w:val="22"/>
          <w:szCs w:val="22"/>
          <w:lang w:val="en-GB"/>
        </w:rPr>
        <w:t>Target group</w:t>
      </w:r>
    </w:p>
    <w:p w:rsidR="00883E17" w:rsidRPr="00711C16" w:rsidRDefault="00711C16" w:rsidP="00711C16">
      <w:pPr>
        <w:ind w:leftChars="295" w:left="708"/>
        <w:rPr>
          <w:sz w:val="22"/>
          <w:szCs w:val="22"/>
          <w:lang w:val="en-GB"/>
        </w:rPr>
      </w:pPr>
      <w:r w:rsidRPr="00711C16">
        <w:rPr>
          <w:sz w:val="22"/>
          <w:szCs w:val="22"/>
          <w:lang w:val="en-GB"/>
        </w:rPr>
        <w:t>This topic is targeted to all groups in the innovation chain: fundamental research, applied research, industrial R&amp;D. Collaboration between research entities, SMEs and large industry is encouraged.</w:t>
      </w:r>
    </w:p>
    <w:p w:rsidR="00711C16" w:rsidRPr="00A7721D" w:rsidRDefault="00711C16" w:rsidP="00711C16"/>
    <w:p w:rsidR="00883E17" w:rsidRPr="00B01102" w:rsidRDefault="00883E17" w:rsidP="00117525">
      <w:pPr>
        <w:ind w:left="567" w:hangingChars="236" w:hanging="567"/>
        <w:rPr>
          <w:b/>
        </w:rPr>
      </w:pPr>
      <w:r w:rsidRPr="00B01102">
        <w:rPr>
          <w:rFonts w:hint="eastAsia"/>
          <w:b/>
        </w:rPr>
        <w:t>(</w:t>
      </w:r>
      <w:r w:rsidR="00711C16">
        <w:rPr>
          <w:rFonts w:hint="eastAsia"/>
          <w:b/>
        </w:rPr>
        <w:t>六</w:t>
      </w:r>
      <w:proofErr w:type="gramStart"/>
      <w:r w:rsidRPr="00B01102">
        <w:rPr>
          <w:rFonts w:hint="eastAsia"/>
          <w:b/>
        </w:rPr>
        <w:t>）</w:t>
      </w:r>
      <w:proofErr w:type="gramEnd"/>
      <w:r w:rsidR="003B50D5">
        <w:rPr>
          <w:rFonts w:hint="eastAsia"/>
          <w:b/>
        </w:rPr>
        <w:t>利用於感測器之功能性材料</w:t>
      </w:r>
      <w:r w:rsidRPr="00B01102">
        <w:rPr>
          <w:rFonts w:hint="eastAsia"/>
          <w:b/>
        </w:rPr>
        <w:t>(</w:t>
      </w:r>
      <w:r w:rsidR="00711C16">
        <w:rPr>
          <w:rFonts w:hint="eastAsia"/>
          <w:b/>
        </w:rPr>
        <w:t xml:space="preserve">Functional </w:t>
      </w:r>
      <w:r w:rsidRPr="00B01102">
        <w:rPr>
          <w:rFonts w:hint="eastAsia"/>
          <w:b/>
        </w:rPr>
        <w:t xml:space="preserve">Materials </w:t>
      </w:r>
      <w:r w:rsidR="00711C16">
        <w:rPr>
          <w:rFonts w:hint="eastAsia"/>
          <w:b/>
        </w:rPr>
        <w:t>Focusing on Sensors</w:t>
      </w:r>
      <w:r w:rsidRPr="00B01102">
        <w:rPr>
          <w:rFonts w:hint="eastAsia"/>
          <w:b/>
        </w:rPr>
        <w:t>)</w:t>
      </w:r>
    </w:p>
    <w:p w:rsidR="00711C16" w:rsidRPr="00711C16" w:rsidRDefault="00711C16" w:rsidP="00711C16">
      <w:pPr>
        <w:spacing w:before="100" w:beforeAutospacing="1"/>
        <w:ind w:leftChars="295" w:left="708"/>
        <w:jc w:val="both"/>
        <w:rPr>
          <w:b/>
          <w:sz w:val="22"/>
          <w:szCs w:val="22"/>
          <w:lang w:val="en-GB"/>
        </w:rPr>
      </w:pPr>
      <w:r>
        <w:rPr>
          <w:rFonts w:hint="eastAsia"/>
          <w:b/>
        </w:rPr>
        <w:t xml:space="preserve">1. </w:t>
      </w:r>
      <w:r w:rsidRPr="00711C16">
        <w:rPr>
          <w:b/>
          <w:sz w:val="22"/>
          <w:szCs w:val="22"/>
          <w:lang w:val="en-GB"/>
        </w:rPr>
        <w:t>Technical content and scope</w:t>
      </w:r>
    </w:p>
    <w:p w:rsidR="00711C16" w:rsidRPr="00711C16" w:rsidRDefault="00711C16" w:rsidP="00711C16">
      <w:pPr>
        <w:ind w:left="709"/>
        <w:rPr>
          <w:sz w:val="22"/>
          <w:szCs w:val="22"/>
          <w:lang w:val="en-GB"/>
        </w:rPr>
      </w:pPr>
      <w:r w:rsidRPr="00711C16">
        <w:rPr>
          <w:sz w:val="22"/>
          <w:szCs w:val="22"/>
          <w:lang w:val="en-GB"/>
        </w:rPr>
        <w:t xml:space="preserve">Overall improvement of human and environmental well-being can be increased by intelligent and user friendly solutions of sensing devices. Chemical or physical sensors can cover various applications areas related to transport, well-being, entertainment, health, environment, security and safety. Europe as a knowledge based economy has to keep its worldwide position in this field. On one hand there is a need for fundamental understanding of mechanisms and processes from a materials point of view. On the other hand there are already many materials tested in a laboratory environment that need to find their way in the application domain. </w:t>
      </w:r>
    </w:p>
    <w:p w:rsidR="00711C16" w:rsidRPr="00711C16" w:rsidRDefault="00711C16" w:rsidP="00711C16">
      <w:pPr>
        <w:ind w:left="709"/>
        <w:rPr>
          <w:sz w:val="22"/>
          <w:szCs w:val="22"/>
          <w:lang w:val="en-GB"/>
        </w:rPr>
      </w:pPr>
      <w:r w:rsidRPr="00711C16">
        <w:rPr>
          <w:sz w:val="22"/>
          <w:szCs w:val="22"/>
          <w:lang w:val="en-GB"/>
        </w:rPr>
        <w:t>The projects should address functional materials for chemical or physical sensors. The call is open for all types of materials and application areas. Biosensors</w:t>
      </w:r>
      <w:r w:rsidRPr="00711C16">
        <w:rPr>
          <w:sz w:val="22"/>
          <w:szCs w:val="22"/>
          <w:vertAlign w:val="superscript"/>
          <w:lang w:val="en-GB"/>
        </w:rPr>
        <w:footnoteReference w:id="3"/>
      </w:r>
      <w:r w:rsidRPr="00711C16">
        <w:rPr>
          <w:sz w:val="22"/>
          <w:szCs w:val="22"/>
          <w:lang w:val="en-GB"/>
        </w:rPr>
        <w:t xml:space="preserve"> are </w:t>
      </w:r>
      <w:r w:rsidRPr="00711C16">
        <w:rPr>
          <w:sz w:val="22"/>
          <w:szCs w:val="22"/>
          <w:u w:val="single"/>
          <w:lang w:val="en-GB"/>
        </w:rPr>
        <w:t>excluded</w:t>
      </w:r>
      <w:r w:rsidRPr="00711C16">
        <w:rPr>
          <w:sz w:val="22"/>
          <w:szCs w:val="22"/>
          <w:lang w:val="en-GB"/>
        </w:rPr>
        <w:t xml:space="preserve"> from the scope of this call. </w:t>
      </w:r>
    </w:p>
    <w:p w:rsidR="00711C16" w:rsidRPr="00711C16" w:rsidRDefault="00711C16" w:rsidP="00711C16">
      <w:pPr>
        <w:ind w:left="709"/>
        <w:rPr>
          <w:b/>
          <w:sz w:val="22"/>
          <w:szCs w:val="22"/>
          <w:lang w:val="en-GB"/>
        </w:rPr>
      </w:pPr>
    </w:p>
    <w:p w:rsidR="00711C16" w:rsidRPr="00711C16" w:rsidRDefault="00711C16" w:rsidP="00711C16">
      <w:pPr>
        <w:ind w:left="709"/>
        <w:rPr>
          <w:sz w:val="22"/>
          <w:szCs w:val="22"/>
          <w:lang w:val="en-GB"/>
        </w:rPr>
      </w:pPr>
      <w:r w:rsidRPr="00711C16">
        <w:rPr>
          <w:sz w:val="22"/>
          <w:szCs w:val="22"/>
          <w:lang w:val="en-GB"/>
        </w:rPr>
        <w:t>The research proposals should focus on either one of the following types of activities:</w:t>
      </w:r>
    </w:p>
    <w:p w:rsidR="00711C16" w:rsidRPr="00711C16" w:rsidRDefault="00711C16" w:rsidP="00711C16">
      <w:pPr>
        <w:ind w:left="1413" w:hanging="420"/>
        <w:rPr>
          <w:sz w:val="22"/>
          <w:szCs w:val="22"/>
          <w:lang w:val="en-GB"/>
        </w:rPr>
      </w:pPr>
      <w:r w:rsidRPr="00711C16">
        <w:rPr>
          <w:sz w:val="22"/>
          <w:szCs w:val="22"/>
          <w:lang w:val="en-GB"/>
        </w:rPr>
        <w:t xml:space="preserve">a. </w:t>
      </w:r>
      <w:r w:rsidRPr="00711C16">
        <w:rPr>
          <w:sz w:val="22"/>
          <w:szCs w:val="22"/>
          <w:lang w:val="en-GB"/>
        </w:rPr>
        <w:tab/>
        <w:t>Fundamental understanding: Improve the fundamental understanding of the interactions and sensing mechanisms from a materials perspective. These projects can aim for an improved understanding of existing materials or new structures of existing materials or they can aim for the development of completely new materials and the understanding of their sensing mechanisms. Activities include but are not limited to modelling and simulation.</w:t>
      </w:r>
    </w:p>
    <w:p w:rsidR="00711C16" w:rsidRPr="00711C16" w:rsidRDefault="00711C16" w:rsidP="00711C16">
      <w:pPr>
        <w:ind w:left="1413" w:hanging="420"/>
        <w:rPr>
          <w:sz w:val="22"/>
          <w:szCs w:val="22"/>
          <w:lang w:val="en-GB"/>
        </w:rPr>
      </w:pPr>
      <w:r w:rsidRPr="00711C16">
        <w:rPr>
          <w:sz w:val="22"/>
          <w:szCs w:val="22"/>
          <w:lang w:val="en-GB"/>
        </w:rPr>
        <w:t xml:space="preserve">b. </w:t>
      </w:r>
      <w:r w:rsidRPr="00711C16">
        <w:rPr>
          <w:sz w:val="22"/>
          <w:szCs w:val="22"/>
          <w:lang w:val="en-GB"/>
        </w:rPr>
        <w:tab/>
        <w:t xml:space="preserve">Transfer to application: Transfer of materials that have already been tested in a laboratory environment into real world applications. The proposal should contain a clear set of preferably quantitative specifications that are required for a successful implementation in the envisaged application. </w:t>
      </w:r>
    </w:p>
    <w:p w:rsidR="00711C16" w:rsidRPr="00711C16" w:rsidRDefault="00711C16" w:rsidP="00711C16">
      <w:pPr>
        <w:ind w:left="709"/>
        <w:rPr>
          <w:sz w:val="22"/>
          <w:szCs w:val="22"/>
          <w:lang w:val="en-GB"/>
        </w:rPr>
      </w:pPr>
      <w:r w:rsidRPr="00711C16">
        <w:rPr>
          <w:sz w:val="22"/>
          <w:szCs w:val="22"/>
          <w:lang w:val="en-GB"/>
        </w:rPr>
        <w:t xml:space="preserve">All proposals should clearly indicate in which project type they are positioned and at what level on the Technology Readiness Level (TRL) scale the project is situated (see Annex 2). </w:t>
      </w:r>
    </w:p>
    <w:p w:rsidR="00711C16" w:rsidRPr="00711C16" w:rsidRDefault="00711C16" w:rsidP="00711C16">
      <w:pPr>
        <w:ind w:left="709"/>
        <w:rPr>
          <w:b/>
          <w:sz w:val="22"/>
          <w:szCs w:val="22"/>
          <w:lang w:val="en-GB"/>
        </w:rPr>
      </w:pPr>
      <w:r w:rsidRPr="00711C16">
        <w:rPr>
          <w:sz w:val="22"/>
          <w:szCs w:val="22"/>
          <w:lang w:val="en-GB"/>
        </w:rPr>
        <w:t xml:space="preserve">  </w:t>
      </w:r>
    </w:p>
    <w:p w:rsidR="00711C16" w:rsidRPr="00711C16" w:rsidRDefault="00711C16" w:rsidP="00711C16">
      <w:pPr>
        <w:ind w:left="709"/>
        <w:rPr>
          <w:b/>
          <w:sz w:val="22"/>
          <w:szCs w:val="22"/>
          <w:lang w:val="en-GB"/>
        </w:rPr>
      </w:pPr>
      <w:r>
        <w:rPr>
          <w:rFonts w:hint="eastAsia"/>
          <w:b/>
          <w:sz w:val="22"/>
          <w:szCs w:val="22"/>
          <w:lang w:val="en-GB"/>
        </w:rPr>
        <w:t xml:space="preserve">2. </w:t>
      </w:r>
      <w:r w:rsidRPr="00711C16">
        <w:rPr>
          <w:b/>
          <w:sz w:val="22"/>
          <w:szCs w:val="22"/>
          <w:lang w:val="en-GB"/>
        </w:rPr>
        <w:t>Expected impact</w:t>
      </w:r>
    </w:p>
    <w:p w:rsidR="00711C16" w:rsidRPr="00711C16" w:rsidRDefault="00711C16" w:rsidP="00711C16">
      <w:pPr>
        <w:ind w:left="709"/>
        <w:rPr>
          <w:sz w:val="22"/>
          <w:szCs w:val="22"/>
          <w:lang w:val="en-GB"/>
        </w:rPr>
      </w:pPr>
      <w:r w:rsidRPr="00711C16">
        <w:rPr>
          <w:sz w:val="22"/>
          <w:szCs w:val="22"/>
          <w:lang w:val="en-GB"/>
        </w:rPr>
        <w:t>The expected impact depends on the type of project:</w:t>
      </w:r>
    </w:p>
    <w:p w:rsidR="00711C16" w:rsidRPr="00711C16" w:rsidRDefault="00711C16" w:rsidP="00DD7F3B">
      <w:pPr>
        <w:widowControl/>
        <w:numPr>
          <w:ilvl w:val="0"/>
          <w:numId w:val="19"/>
        </w:numPr>
        <w:ind w:left="1418" w:hanging="425"/>
        <w:rPr>
          <w:sz w:val="22"/>
          <w:szCs w:val="22"/>
          <w:lang w:val="en-GB"/>
        </w:rPr>
      </w:pPr>
      <w:r w:rsidRPr="00711C16">
        <w:rPr>
          <w:sz w:val="22"/>
          <w:szCs w:val="22"/>
          <w:lang w:val="en-GB"/>
        </w:rPr>
        <w:t xml:space="preserve">The fundamental understanding of sensing mechanisms of materials will enable a faster design and development of new generations of sensors. These projects will not have a short-term implementation but should boost the knowledge that is needed for new developments on the longer term. </w:t>
      </w:r>
    </w:p>
    <w:p w:rsidR="00711C16" w:rsidRPr="00711C16" w:rsidRDefault="00711C16" w:rsidP="00DD7F3B">
      <w:pPr>
        <w:widowControl/>
        <w:numPr>
          <w:ilvl w:val="0"/>
          <w:numId w:val="19"/>
        </w:numPr>
        <w:ind w:left="1418" w:hanging="425"/>
        <w:rPr>
          <w:sz w:val="22"/>
          <w:szCs w:val="22"/>
          <w:lang w:val="en-GB"/>
        </w:rPr>
      </w:pPr>
      <w:r w:rsidRPr="00711C16">
        <w:rPr>
          <w:sz w:val="22"/>
          <w:szCs w:val="22"/>
          <w:lang w:val="en-GB"/>
        </w:rPr>
        <w:t>The application-focused proposals should have a clear market perspective and should contain a quantitative description of the market potential.</w:t>
      </w:r>
    </w:p>
    <w:p w:rsidR="00711C16" w:rsidRPr="00711C16" w:rsidRDefault="00711C16" w:rsidP="00711C16">
      <w:pPr>
        <w:ind w:left="709"/>
        <w:rPr>
          <w:b/>
          <w:sz w:val="22"/>
          <w:szCs w:val="22"/>
          <w:lang w:val="en-GB"/>
        </w:rPr>
      </w:pPr>
    </w:p>
    <w:p w:rsidR="00711C16" w:rsidRPr="00711C16" w:rsidRDefault="00711C16" w:rsidP="00711C16">
      <w:pPr>
        <w:ind w:left="709"/>
        <w:rPr>
          <w:b/>
          <w:sz w:val="22"/>
          <w:szCs w:val="22"/>
          <w:lang w:val="en-GB"/>
        </w:rPr>
      </w:pPr>
      <w:r w:rsidRPr="00711C16">
        <w:rPr>
          <w:b/>
          <w:sz w:val="22"/>
          <w:szCs w:val="22"/>
          <w:lang w:val="en-GB"/>
        </w:rPr>
        <w:t>Target groups</w:t>
      </w:r>
    </w:p>
    <w:p w:rsidR="00711C16" w:rsidRDefault="00711C16" w:rsidP="00711C16">
      <w:pPr>
        <w:ind w:left="709"/>
        <w:rPr>
          <w:rFonts w:hint="eastAsia"/>
          <w:sz w:val="22"/>
          <w:szCs w:val="22"/>
          <w:lang w:val="en-GB"/>
        </w:rPr>
      </w:pPr>
      <w:r w:rsidRPr="00711C16">
        <w:rPr>
          <w:sz w:val="22"/>
          <w:szCs w:val="22"/>
          <w:lang w:val="en-GB"/>
        </w:rPr>
        <w:t xml:space="preserve">This topic is open for all actors in the innovation landscape and collaboration between different types of actors is encouraged. The projects dealing with fundamental understanding will likely be driven by universities and research centres, although industrial applicants are certainly not excluded. Besides, for consortia consisting only of basic research actors, the establishment of an industrial advisory board is highly recommended to ensure the relevance of the research. The application-driven projects require a strong involvement of industry to ensure a successful implementation. </w:t>
      </w:r>
    </w:p>
    <w:p w:rsidR="00674BF5" w:rsidRPr="00E60F6F" w:rsidRDefault="008136FE" w:rsidP="00FB57AB">
      <w:pPr>
        <w:pStyle w:val="ab"/>
        <w:numPr>
          <w:ilvl w:val="0"/>
          <w:numId w:val="4"/>
        </w:numPr>
        <w:adjustRightInd w:val="0"/>
        <w:spacing w:before="100" w:beforeAutospacing="1" w:after="100" w:afterAutospacing="1"/>
        <w:ind w:leftChars="0" w:left="567" w:hanging="567"/>
      </w:pPr>
      <w:r w:rsidRPr="00E60F6F">
        <w:rPr>
          <w:rFonts w:hint="eastAsia"/>
        </w:rPr>
        <w:t>申請方式</w:t>
      </w:r>
    </w:p>
    <w:p w:rsidR="008136FE" w:rsidRPr="008D03B4" w:rsidRDefault="00DF13BB" w:rsidP="00DD7F3B">
      <w:pPr>
        <w:pStyle w:val="ab"/>
        <w:numPr>
          <w:ilvl w:val="0"/>
          <w:numId w:val="2"/>
        </w:numPr>
        <w:adjustRightInd w:val="0"/>
        <w:ind w:leftChars="0"/>
        <w:jc w:val="both"/>
        <w:rPr>
          <w:u w:val="single"/>
        </w:rPr>
      </w:pPr>
      <w:r w:rsidRPr="005C6598">
        <w:rPr>
          <w:rFonts w:hint="eastAsia"/>
        </w:rPr>
        <w:t>請</w:t>
      </w:r>
      <w:r w:rsidR="00B32AF8" w:rsidRPr="005C6598">
        <w:rPr>
          <w:rFonts w:hint="eastAsia"/>
        </w:rPr>
        <w:t>依</w:t>
      </w:r>
      <w:r w:rsidR="000819FA" w:rsidRPr="005C6598">
        <w:rPr>
          <w:rFonts w:hint="eastAsia"/>
        </w:rPr>
        <w:t>附件</w:t>
      </w:r>
      <w:r w:rsidR="00B32AF8" w:rsidRPr="005C6598">
        <w:rPr>
          <w:rFonts w:hint="eastAsia"/>
        </w:rPr>
        <w:t>pre-</w:t>
      </w:r>
      <w:proofErr w:type="spellStart"/>
      <w:r w:rsidR="00B32AF8" w:rsidRPr="005C6598">
        <w:rPr>
          <w:rFonts w:hint="eastAsia"/>
        </w:rPr>
        <w:t>propsoal</w:t>
      </w:r>
      <w:proofErr w:type="spellEnd"/>
      <w:r w:rsidR="00A10CA5" w:rsidRPr="005C6598">
        <w:rPr>
          <w:rFonts w:hint="eastAsia"/>
        </w:rPr>
        <w:t>格式</w:t>
      </w:r>
      <w:r w:rsidRPr="005C6598">
        <w:rPr>
          <w:rFonts w:hint="eastAsia"/>
        </w:rPr>
        <w:t>完成</w:t>
      </w:r>
      <w:r w:rsidR="000819FA">
        <w:rPr>
          <w:rFonts w:hint="eastAsia"/>
        </w:rPr>
        <w:t>構想申請書</w:t>
      </w:r>
      <w:r w:rsidR="00B32AF8" w:rsidRPr="005C6598">
        <w:rPr>
          <w:rFonts w:hint="eastAsia"/>
        </w:rPr>
        <w:t>，於</w:t>
      </w:r>
      <w:r w:rsidR="00A10CA5">
        <w:rPr>
          <w:rFonts w:hint="eastAsia"/>
          <w:b/>
          <w:color w:val="FF0000"/>
        </w:rPr>
        <w:t>2014</w:t>
      </w:r>
      <w:r w:rsidR="00B32AF8" w:rsidRPr="00C226DE">
        <w:rPr>
          <w:rFonts w:hint="eastAsia"/>
          <w:b/>
          <w:color w:val="FF0000"/>
        </w:rPr>
        <w:t>年</w:t>
      </w:r>
      <w:r w:rsidR="008639AD">
        <w:rPr>
          <w:rFonts w:hint="eastAsia"/>
          <w:b/>
          <w:color w:val="FF0000"/>
        </w:rPr>
        <w:t>09</w:t>
      </w:r>
      <w:r w:rsidR="00B32AF8" w:rsidRPr="00C226DE">
        <w:rPr>
          <w:rFonts w:hint="eastAsia"/>
          <w:b/>
          <w:color w:val="FF0000"/>
        </w:rPr>
        <w:t>月</w:t>
      </w:r>
      <w:r w:rsidR="008639AD">
        <w:rPr>
          <w:rFonts w:hint="eastAsia"/>
          <w:b/>
          <w:color w:val="FF0000"/>
        </w:rPr>
        <w:t>16</w:t>
      </w:r>
      <w:r w:rsidR="00B32AF8" w:rsidRPr="00C226DE">
        <w:rPr>
          <w:rFonts w:hint="eastAsia"/>
          <w:b/>
          <w:color w:val="FF0000"/>
        </w:rPr>
        <w:t>日前</w:t>
      </w:r>
      <w:r w:rsidR="00DB1335" w:rsidRPr="004D5D4B">
        <w:rPr>
          <w:rFonts w:hint="eastAsia"/>
          <w:b/>
          <w:color w:val="FF0000"/>
        </w:rPr>
        <w:t>(</w:t>
      </w:r>
      <w:r w:rsidR="00DB1335" w:rsidRPr="004D5D4B">
        <w:rPr>
          <w:rFonts w:hint="eastAsia"/>
          <w:b/>
          <w:color w:val="FF0000"/>
        </w:rPr>
        <w:t>布魯塞爾時間</w:t>
      </w:r>
      <w:r w:rsidR="00DB1335" w:rsidRPr="004D5D4B">
        <w:rPr>
          <w:rFonts w:hint="eastAsia"/>
          <w:b/>
          <w:color w:val="FF0000"/>
        </w:rPr>
        <w:t>Brussels Time 12:00PM</w:t>
      </w:r>
      <w:r w:rsidR="00DB1335" w:rsidRPr="004D5D4B">
        <w:rPr>
          <w:rFonts w:hint="eastAsia"/>
          <w:b/>
          <w:color w:val="FF0000"/>
        </w:rPr>
        <w:t>前</w:t>
      </w:r>
      <w:r w:rsidR="00DB1335" w:rsidRPr="004D5D4B">
        <w:rPr>
          <w:rFonts w:hint="eastAsia"/>
          <w:b/>
          <w:color w:val="FF0000"/>
        </w:rPr>
        <w:t>)</w:t>
      </w:r>
      <w:r w:rsidR="009066F3" w:rsidRPr="008D03B4">
        <w:rPr>
          <w:rFonts w:hint="eastAsia"/>
          <w:u w:val="single"/>
        </w:rPr>
        <w:t>以</w:t>
      </w:r>
      <w:r w:rsidR="00DB1335">
        <w:rPr>
          <w:rFonts w:hint="eastAsia"/>
          <w:u w:val="single"/>
        </w:rPr>
        <w:t>E</w:t>
      </w:r>
      <w:r w:rsidR="009066F3" w:rsidRPr="008D03B4">
        <w:rPr>
          <w:rFonts w:hint="eastAsia"/>
          <w:u w:val="single"/>
        </w:rPr>
        <w:t>mail</w:t>
      </w:r>
      <w:r w:rsidR="001A1679" w:rsidRPr="008D03B4">
        <w:rPr>
          <w:rFonts w:hint="eastAsia"/>
          <w:u w:val="single"/>
        </w:rPr>
        <w:t>方式寄至</w:t>
      </w:r>
      <w:r w:rsidR="008639AD">
        <w:rPr>
          <w:rFonts w:hint="eastAsia"/>
          <w:u w:val="single"/>
        </w:rPr>
        <w:t>科技部自然司</w:t>
      </w:r>
      <w:r w:rsidR="001A1679" w:rsidRPr="008D03B4">
        <w:rPr>
          <w:rFonts w:hint="eastAsia"/>
          <w:u w:val="single"/>
        </w:rPr>
        <w:t>王心頎小姐收</w:t>
      </w:r>
      <w:r w:rsidR="00CB5C89" w:rsidRPr="008D03B4">
        <w:rPr>
          <w:rFonts w:hint="eastAsia"/>
          <w:u w:val="single"/>
        </w:rPr>
        <w:t xml:space="preserve"> </w:t>
      </w:r>
      <w:r w:rsidR="009066F3" w:rsidRPr="00DB1335">
        <w:rPr>
          <w:rFonts w:hint="eastAsia"/>
          <w:u w:val="single"/>
        </w:rPr>
        <w:t>(</w:t>
      </w:r>
      <w:r w:rsidR="00233638">
        <w:rPr>
          <w:rFonts w:hint="eastAsia"/>
          <w:u w:val="single"/>
        </w:rPr>
        <w:t xml:space="preserve">email: </w:t>
      </w:r>
      <w:hyperlink r:id="rId11" w:history="1">
        <w:r w:rsidR="000807F5" w:rsidRPr="00DB1335">
          <w:rPr>
            <w:rStyle w:val="a9"/>
            <w:rFonts w:hint="eastAsia"/>
          </w:rPr>
          <w:t>soa145@nsc.gov.tw</w:t>
        </w:r>
      </w:hyperlink>
      <w:r w:rsidR="000807F5" w:rsidRPr="00DB1335">
        <w:rPr>
          <w:rFonts w:hint="eastAsia"/>
          <w:u w:val="single"/>
        </w:rPr>
        <w:t>)</w:t>
      </w:r>
      <w:r w:rsidR="000807F5" w:rsidRPr="00DB1335">
        <w:rPr>
          <w:rFonts w:hint="eastAsia"/>
          <w:u w:val="single"/>
        </w:rPr>
        <w:t>。並</w:t>
      </w:r>
      <w:r w:rsidR="000819FA" w:rsidRPr="00233638">
        <w:rPr>
          <w:rFonts w:hint="eastAsia"/>
          <w:b/>
          <w:u w:val="single"/>
        </w:rPr>
        <w:t>完成</w:t>
      </w:r>
      <w:r w:rsidR="000807F5" w:rsidRPr="00233638">
        <w:rPr>
          <w:rFonts w:hint="eastAsia"/>
          <w:b/>
          <w:u w:val="single"/>
        </w:rPr>
        <w:t>上傳</w:t>
      </w:r>
      <w:r w:rsidR="00DB1335" w:rsidRPr="00233638">
        <w:rPr>
          <w:rFonts w:hint="eastAsia"/>
          <w:b/>
          <w:u w:val="single"/>
        </w:rPr>
        <w:t>P</w:t>
      </w:r>
      <w:r w:rsidR="000807F5" w:rsidRPr="00233638">
        <w:rPr>
          <w:rFonts w:hint="eastAsia"/>
          <w:b/>
          <w:u w:val="single"/>
        </w:rPr>
        <w:t>re-proposal</w:t>
      </w:r>
      <w:r w:rsidR="000807F5" w:rsidRPr="00233638">
        <w:rPr>
          <w:rFonts w:hint="eastAsia"/>
          <w:b/>
          <w:u w:val="single"/>
        </w:rPr>
        <w:t>至</w:t>
      </w:r>
      <w:r w:rsidR="000807F5" w:rsidRPr="00233638">
        <w:rPr>
          <w:b/>
          <w:u w:val="single"/>
        </w:rPr>
        <w:t>M-</w:t>
      </w:r>
      <w:r w:rsidR="000807F5" w:rsidRPr="00233638">
        <w:rPr>
          <w:rFonts w:hint="eastAsia"/>
          <w:b/>
          <w:u w:val="single"/>
        </w:rPr>
        <w:t>ERA</w:t>
      </w:r>
      <w:r w:rsidR="000807F5" w:rsidRPr="00233638">
        <w:rPr>
          <w:b/>
          <w:u w:val="single"/>
        </w:rPr>
        <w:t>.N</w:t>
      </w:r>
      <w:r w:rsidR="000807F5" w:rsidRPr="00233638">
        <w:rPr>
          <w:rFonts w:hint="eastAsia"/>
          <w:b/>
          <w:u w:val="single"/>
        </w:rPr>
        <w:t>ET</w:t>
      </w:r>
      <w:r w:rsidR="00CB5C89" w:rsidRPr="00DB1335">
        <w:rPr>
          <w:rFonts w:hint="eastAsia"/>
          <w:b/>
          <w:u w:val="single"/>
        </w:rPr>
        <w:t xml:space="preserve"> </w:t>
      </w:r>
      <w:r w:rsidR="00166574" w:rsidRPr="008D03B4">
        <w:rPr>
          <w:rFonts w:hint="eastAsia"/>
          <w:u w:val="single"/>
        </w:rPr>
        <w:t>(</w:t>
      </w:r>
      <w:hyperlink r:id="rId12" w:history="1">
        <w:r w:rsidR="00DB1335" w:rsidRPr="008A3F65">
          <w:rPr>
            <w:rStyle w:val="a9"/>
          </w:rPr>
          <w:t>http://</w:t>
        </w:r>
        <w:r w:rsidR="00DB1335" w:rsidRPr="008A3F65">
          <w:rPr>
            <w:rStyle w:val="a9"/>
            <w:rFonts w:hint="eastAsia"/>
          </w:rPr>
          <w:t>www.m-era.net</w:t>
        </w:r>
      </w:hyperlink>
      <w:r w:rsidR="00285636">
        <w:rPr>
          <w:rFonts w:hint="eastAsia"/>
          <w:u w:val="single"/>
        </w:rPr>
        <w:t xml:space="preserve"> </w:t>
      </w:r>
      <w:r w:rsidR="00166574" w:rsidRPr="008D03B4">
        <w:rPr>
          <w:rFonts w:hint="eastAsia"/>
          <w:u w:val="single"/>
        </w:rPr>
        <w:t>)</w:t>
      </w:r>
      <w:r w:rsidR="00166574" w:rsidRPr="008D03B4">
        <w:rPr>
          <w:rFonts w:hint="eastAsia"/>
          <w:u w:val="single"/>
        </w:rPr>
        <w:t>。</w:t>
      </w:r>
    </w:p>
    <w:p w:rsidR="001E29E2" w:rsidRPr="00861F20" w:rsidRDefault="001E29E2" w:rsidP="00DD7F3B">
      <w:pPr>
        <w:pStyle w:val="ab"/>
        <w:numPr>
          <w:ilvl w:val="0"/>
          <w:numId w:val="2"/>
        </w:numPr>
        <w:adjustRightInd w:val="0"/>
        <w:ind w:leftChars="0" w:left="766" w:hanging="482"/>
        <w:jc w:val="both"/>
      </w:pPr>
      <w:r w:rsidRPr="00C226DE">
        <w:rPr>
          <w:rFonts w:hint="eastAsia"/>
          <w:b/>
          <w:u w:val="single"/>
        </w:rPr>
        <w:t>申請</w:t>
      </w:r>
      <w:r w:rsidR="00780CAA" w:rsidRPr="00C226DE">
        <w:rPr>
          <w:rFonts w:hint="eastAsia"/>
          <w:b/>
          <w:u w:val="single"/>
        </w:rPr>
        <w:t>團隊中，包含申請人</w:t>
      </w:r>
      <w:r w:rsidR="000819FA">
        <w:rPr>
          <w:rFonts w:hint="eastAsia"/>
          <w:b/>
          <w:u w:val="single"/>
        </w:rPr>
        <w:t>至少需</w:t>
      </w:r>
      <w:r w:rsidRPr="00C226DE">
        <w:rPr>
          <w:rFonts w:hint="eastAsia"/>
          <w:b/>
          <w:u w:val="single"/>
        </w:rPr>
        <w:t>有二個國家的參與及三個團隊的組成。</w:t>
      </w:r>
      <w:r w:rsidR="00627DA9" w:rsidRPr="005C6598">
        <w:rPr>
          <w:rFonts w:hint="eastAsia"/>
        </w:rPr>
        <w:t>奈米</w:t>
      </w:r>
      <w:r w:rsidR="00627DA9" w:rsidRPr="00861F20">
        <w:rPr>
          <w:rFonts w:hint="eastAsia"/>
        </w:rPr>
        <w:t>國家型科技計畫辦公室亦可協助申請人</w:t>
      </w:r>
      <w:r w:rsidR="00DF13BB" w:rsidRPr="00861F20">
        <w:rPr>
          <w:rFonts w:hint="eastAsia"/>
        </w:rPr>
        <w:t>於歐盟計畫平台上徵求國外對應合作對象，請申請人將計畫構想摘要、欲合作項目及對象與聯絡方式交給奈米國家型科技計畫辦公室聯絡人轉交。</w:t>
      </w:r>
      <w:r w:rsidR="00103988">
        <w:rPr>
          <w:rFonts w:hint="eastAsia"/>
        </w:rPr>
        <w:t>計畫</w:t>
      </w:r>
      <w:r w:rsidR="000819FA">
        <w:rPr>
          <w:rFonts w:hint="eastAsia"/>
        </w:rPr>
        <w:t>執行</w:t>
      </w:r>
      <w:r w:rsidR="00103988">
        <w:rPr>
          <w:rFonts w:hint="eastAsia"/>
        </w:rPr>
        <w:t>期限以三年為原則</w:t>
      </w:r>
      <w:r w:rsidR="00103988">
        <w:rPr>
          <w:rFonts w:ascii="新細明體" w:hAnsi="新細明體" w:hint="eastAsia"/>
        </w:rPr>
        <w:t>。</w:t>
      </w:r>
    </w:p>
    <w:p w:rsidR="00FE17ED" w:rsidRDefault="00DD1577" w:rsidP="00DD7F3B">
      <w:pPr>
        <w:pStyle w:val="ab"/>
        <w:numPr>
          <w:ilvl w:val="0"/>
          <w:numId w:val="2"/>
        </w:numPr>
        <w:adjustRightInd w:val="0"/>
        <w:ind w:leftChars="0" w:left="766" w:hanging="482"/>
        <w:jc w:val="both"/>
      </w:pPr>
      <w:r w:rsidRPr="00FE17ED">
        <w:t>P</w:t>
      </w:r>
      <w:r w:rsidRPr="00FE17ED">
        <w:rPr>
          <w:rFonts w:hint="eastAsia"/>
        </w:rPr>
        <w:t xml:space="preserve">re-proposal </w:t>
      </w:r>
      <w:r w:rsidR="000819FA">
        <w:rPr>
          <w:rFonts w:hint="eastAsia"/>
        </w:rPr>
        <w:t>中</w:t>
      </w:r>
      <w:r w:rsidRPr="00FE17ED">
        <w:rPr>
          <w:rFonts w:hint="eastAsia"/>
        </w:rPr>
        <w:t>本國</w:t>
      </w:r>
      <w:r w:rsidR="00205E6E">
        <w:rPr>
          <w:rFonts w:hint="eastAsia"/>
        </w:rPr>
        <w:t>之</w:t>
      </w:r>
      <w:r w:rsidRPr="00FE17ED">
        <w:rPr>
          <w:rFonts w:hint="eastAsia"/>
        </w:rPr>
        <w:t>子計畫</w:t>
      </w:r>
      <w:r w:rsidR="000819FA">
        <w:rPr>
          <w:rFonts w:hint="eastAsia"/>
        </w:rPr>
        <w:t>將</w:t>
      </w:r>
      <w:r w:rsidRPr="00FE17ED">
        <w:rPr>
          <w:rFonts w:hint="eastAsia"/>
        </w:rPr>
        <w:t>由</w:t>
      </w:r>
      <w:proofErr w:type="gramStart"/>
      <w:r w:rsidR="008639AD">
        <w:rPr>
          <w:rFonts w:hint="eastAsia"/>
        </w:rPr>
        <w:t>科技部</w:t>
      </w:r>
      <w:r w:rsidRPr="00FE17ED">
        <w:rPr>
          <w:rFonts w:hint="eastAsia"/>
        </w:rPr>
        <w:t>依</w:t>
      </w:r>
      <w:proofErr w:type="gramEnd"/>
      <w:r w:rsidRPr="00FE17ED">
        <w:t>M-ERA.NET</w:t>
      </w:r>
      <w:r w:rsidRPr="00FE17ED">
        <w:rPr>
          <w:rFonts w:hint="eastAsia"/>
        </w:rPr>
        <w:t>規定初審</w:t>
      </w:r>
      <w:r w:rsidR="00861F20" w:rsidRPr="00FE17ED">
        <w:rPr>
          <w:rFonts w:hint="eastAsia"/>
        </w:rPr>
        <w:t>。</w:t>
      </w:r>
      <w:r w:rsidR="00C44124" w:rsidRPr="00FE17ED">
        <w:rPr>
          <w:rFonts w:hint="eastAsia"/>
        </w:rPr>
        <w:t>歐盟暫定在</w:t>
      </w:r>
      <w:r w:rsidR="00A10CA5">
        <w:rPr>
          <w:rFonts w:hint="eastAsia"/>
        </w:rPr>
        <w:t>2014</w:t>
      </w:r>
      <w:r w:rsidR="00C44124" w:rsidRPr="0011622D">
        <w:rPr>
          <w:rFonts w:hint="eastAsia"/>
        </w:rPr>
        <w:t>年</w:t>
      </w:r>
      <w:r w:rsidR="00B102EC" w:rsidRPr="0011622D">
        <w:rPr>
          <w:rFonts w:hint="eastAsia"/>
        </w:rPr>
        <w:t>1</w:t>
      </w:r>
      <w:r w:rsidR="00C44124" w:rsidRPr="0011622D">
        <w:rPr>
          <w:rFonts w:hint="eastAsia"/>
        </w:rPr>
        <w:t>2</w:t>
      </w:r>
      <w:r w:rsidR="004F0E73" w:rsidRPr="0011622D">
        <w:rPr>
          <w:rFonts w:hint="eastAsia"/>
        </w:rPr>
        <w:t>月</w:t>
      </w:r>
      <w:r w:rsidR="00A10CA5">
        <w:rPr>
          <w:rFonts w:hint="eastAsia"/>
        </w:rPr>
        <w:t>至</w:t>
      </w:r>
      <w:r w:rsidR="00A10CA5">
        <w:rPr>
          <w:rFonts w:hint="eastAsia"/>
        </w:rPr>
        <w:t>2015</w:t>
      </w:r>
      <w:r w:rsidR="00B102EC" w:rsidRPr="0011622D">
        <w:rPr>
          <w:rFonts w:hint="eastAsia"/>
        </w:rPr>
        <w:t>年</w:t>
      </w:r>
      <w:r w:rsidR="00B102EC" w:rsidRPr="0011622D">
        <w:rPr>
          <w:rFonts w:hint="eastAsia"/>
        </w:rPr>
        <w:t>1</w:t>
      </w:r>
      <w:r w:rsidR="00B102EC" w:rsidRPr="0011622D">
        <w:rPr>
          <w:rFonts w:hint="eastAsia"/>
        </w:rPr>
        <w:t>月</w:t>
      </w:r>
      <w:r w:rsidR="004F0E73" w:rsidRPr="00FE17ED">
        <w:rPr>
          <w:rFonts w:hint="eastAsia"/>
        </w:rPr>
        <w:t>公佈</w:t>
      </w:r>
      <w:r w:rsidR="00285636">
        <w:rPr>
          <w:rFonts w:hint="eastAsia"/>
        </w:rPr>
        <w:t>P</w:t>
      </w:r>
      <w:r w:rsidR="00C44124" w:rsidRPr="00FE17ED">
        <w:rPr>
          <w:rFonts w:hint="eastAsia"/>
        </w:rPr>
        <w:t>re-proposal</w:t>
      </w:r>
      <w:r w:rsidR="0009224E" w:rsidRPr="00FE17ED">
        <w:rPr>
          <w:rFonts w:hint="eastAsia"/>
        </w:rPr>
        <w:t>的</w:t>
      </w:r>
      <w:r w:rsidR="004F0E73" w:rsidRPr="00FE17ED">
        <w:rPr>
          <w:rFonts w:hint="eastAsia"/>
        </w:rPr>
        <w:t>審查</w:t>
      </w:r>
      <w:r w:rsidR="00C44124" w:rsidRPr="00FE17ED">
        <w:rPr>
          <w:rFonts w:hint="eastAsia"/>
        </w:rPr>
        <w:t>結果，</w:t>
      </w:r>
      <w:r w:rsidR="004F0E73" w:rsidRPr="00FE17ED">
        <w:rPr>
          <w:rFonts w:hint="eastAsia"/>
        </w:rPr>
        <w:t>並</w:t>
      </w:r>
      <w:r w:rsidR="00EF0453" w:rsidRPr="00FE17ED">
        <w:rPr>
          <w:rFonts w:hint="eastAsia"/>
        </w:rPr>
        <w:t>通知</w:t>
      </w:r>
      <w:r w:rsidR="0009224E" w:rsidRPr="00FE17ED">
        <w:rPr>
          <w:rFonts w:hint="eastAsia"/>
        </w:rPr>
        <w:t>申請人</w:t>
      </w:r>
      <w:r w:rsidR="005D00B1" w:rsidRPr="00FE17ED">
        <w:rPr>
          <w:rFonts w:hint="eastAsia"/>
        </w:rPr>
        <w:t>於</w:t>
      </w:r>
      <w:r w:rsidR="00A10CA5">
        <w:rPr>
          <w:rFonts w:hint="eastAsia"/>
        </w:rPr>
        <w:t>2015</w:t>
      </w:r>
      <w:r w:rsidR="005D00B1" w:rsidRPr="0011622D">
        <w:rPr>
          <w:rFonts w:hint="eastAsia"/>
        </w:rPr>
        <w:t>年</w:t>
      </w:r>
      <w:r w:rsidR="008639AD" w:rsidRPr="0011622D">
        <w:rPr>
          <w:rFonts w:hint="eastAsia"/>
        </w:rPr>
        <w:t>2</w:t>
      </w:r>
      <w:r w:rsidR="005D00B1" w:rsidRPr="0011622D">
        <w:rPr>
          <w:rFonts w:hint="eastAsia"/>
        </w:rPr>
        <w:t>月</w:t>
      </w:r>
      <w:r w:rsidR="008639AD" w:rsidRPr="0011622D">
        <w:rPr>
          <w:rFonts w:hint="eastAsia"/>
        </w:rPr>
        <w:t>18</w:t>
      </w:r>
      <w:r w:rsidR="005D00B1" w:rsidRPr="0011622D">
        <w:rPr>
          <w:rFonts w:hint="eastAsia"/>
        </w:rPr>
        <w:t>日</w:t>
      </w:r>
      <w:r w:rsidR="00FE17ED" w:rsidRPr="0011622D">
        <w:rPr>
          <w:rFonts w:hint="eastAsia"/>
        </w:rPr>
        <w:t>前</w:t>
      </w:r>
      <w:r w:rsidR="0009224E" w:rsidRPr="00FE17ED">
        <w:rPr>
          <w:rFonts w:hint="eastAsia"/>
        </w:rPr>
        <w:t>上傳</w:t>
      </w:r>
      <w:r w:rsidR="00285636">
        <w:rPr>
          <w:rFonts w:hint="eastAsia"/>
        </w:rPr>
        <w:t>F</w:t>
      </w:r>
      <w:r w:rsidR="0009224E" w:rsidRPr="00FE17ED">
        <w:rPr>
          <w:rFonts w:hint="eastAsia"/>
        </w:rPr>
        <w:t>ull proposal</w:t>
      </w:r>
      <w:r w:rsidR="00372473" w:rsidRPr="00FE17ED">
        <w:rPr>
          <w:rFonts w:hint="eastAsia"/>
        </w:rPr>
        <w:t>，申請人需同時將</w:t>
      </w:r>
      <w:r w:rsidR="00285636">
        <w:rPr>
          <w:rFonts w:hint="eastAsia"/>
        </w:rPr>
        <w:t>F</w:t>
      </w:r>
      <w:r w:rsidR="00372473" w:rsidRPr="00FE17ED">
        <w:rPr>
          <w:rFonts w:hint="eastAsia"/>
        </w:rPr>
        <w:t>ull proposal</w:t>
      </w:r>
      <w:r w:rsidR="00372473" w:rsidRPr="0011622D">
        <w:rPr>
          <w:rFonts w:hint="eastAsia"/>
        </w:rPr>
        <w:t>以</w:t>
      </w:r>
      <w:r w:rsidR="001E6321" w:rsidRPr="0011622D">
        <w:rPr>
          <w:rFonts w:hint="eastAsia"/>
        </w:rPr>
        <w:t>E</w:t>
      </w:r>
      <w:r w:rsidR="00372473" w:rsidRPr="0011622D">
        <w:rPr>
          <w:rFonts w:hint="eastAsia"/>
        </w:rPr>
        <w:t>mail</w:t>
      </w:r>
      <w:r w:rsidR="00372473" w:rsidRPr="0011622D">
        <w:rPr>
          <w:rFonts w:hint="eastAsia"/>
        </w:rPr>
        <w:t>方式寄至</w:t>
      </w:r>
      <w:r w:rsidR="00510EC7" w:rsidRPr="0011622D">
        <w:rPr>
          <w:rFonts w:hint="eastAsia"/>
        </w:rPr>
        <w:t>本</w:t>
      </w:r>
      <w:r w:rsidR="008639AD" w:rsidRPr="0011622D">
        <w:rPr>
          <w:rFonts w:hint="eastAsia"/>
        </w:rPr>
        <w:t>部自然司</w:t>
      </w:r>
      <w:r w:rsidR="00372473" w:rsidRPr="0011622D">
        <w:rPr>
          <w:rFonts w:hint="eastAsia"/>
        </w:rPr>
        <w:t>王心頎小姐收</w:t>
      </w:r>
      <w:r w:rsidR="00372473" w:rsidRPr="0011622D">
        <w:rPr>
          <w:rFonts w:hint="eastAsia"/>
        </w:rPr>
        <w:t xml:space="preserve"> </w:t>
      </w:r>
      <w:r w:rsidR="00372473" w:rsidRPr="0011622D">
        <w:rPr>
          <w:rStyle w:val="a9"/>
          <w:rFonts w:hint="eastAsia"/>
          <w:color w:val="auto"/>
          <w:u w:val="none"/>
        </w:rPr>
        <w:t>(soa145@nsc.gov.tw)</w:t>
      </w:r>
      <w:r w:rsidR="00372473" w:rsidRPr="00CB5C89">
        <w:rPr>
          <w:rStyle w:val="a9"/>
          <w:rFonts w:hint="eastAsia"/>
          <w:color w:val="auto"/>
          <w:u w:val="none"/>
        </w:rPr>
        <w:t>。</w:t>
      </w:r>
    </w:p>
    <w:p w:rsidR="00954F28" w:rsidRPr="000210A2" w:rsidRDefault="000057A6" w:rsidP="00DD7F3B">
      <w:pPr>
        <w:pStyle w:val="ab"/>
        <w:numPr>
          <w:ilvl w:val="0"/>
          <w:numId w:val="2"/>
        </w:numPr>
        <w:adjustRightInd w:val="0"/>
        <w:ind w:leftChars="0" w:left="766" w:hanging="482"/>
        <w:jc w:val="both"/>
      </w:pPr>
      <w:r w:rsidRPr="00FE17ED">
        <w:rPr>
          <w:rFonts w:hint="eastAsia"/>
        </w:rPr>
        <w:t>Ful</w:t>
      </w:r>
      <w:r w:rsidR="005D00B1" w:rsidRPr="00FE17ED">
        <w:rPr>
          <w:rFonts w:hint="eastAsia"/>
        </w:rPr>
        <w:t>l proposal</w:t>
      </w:r>
      <w:r w:rsidRPr="00FE17ED">
        <w:rPr>
          <w:rFonts w:hint="eastAsia"/>
        </w:rPr>
        <w:t>由</w:t>
      </w:r>
      <w:r w:rsidRPr="00FE17ED">
        <w:t>M-ERA.NET</w:t>
      </w:r>
      <w:r w:rsidRPr="00FE17ED">
        <w:rPr>
          <w:rFonts w:hint="eastAsia"/>
        </w:rPr>
        <w:t>依歐盟標準進行審查。歐盟暫定在</w:t>
      </w:r>
      <w:r w:rsidR="00A10CA5">
        <w:rPr>
          <w:rFonts w:hint="eastAsia"/>
        </w:rPr>
        <w:t>2015</w:t>
      </w:r>
      <w:r w:rsidRPr="0011622D">
        <w:rPr>
          <w:rFonts w:hint="eastAsia"/>
        </w:rPr>
        <w:t>年</w:t>
      </w:r>
      <w:r w:rsidR="008639AD" w:rsidRPr="0011622D">
        <w:rPr>
          <w:rFonts w:hint="eastAsia"/>
        </w:rPr>
        <w:t>5</w:t>
      </w:r>
      <w:r w:rsidRPr="0011622D">
        <w:rPr>
          <w:rFonts w:hint="eastAsia"/>
        </w:rPr>
        <w:t>月</w:t>
      </w:r>
      <w:r w:rsidR="001A1679" w:rsidRPr="00FE17ED">
        <w:rPr>
          <w:rFonts w:hint="eastAsia"/>
        </w:rPr>
        <w:t>公佈</w:t>
      </w:r>
      <w:r w:rsidR="00285636">
        <w:rPr>
          <w:rFonts w:hint="eastAsia"/>
        </w:rPr>
        <w:t>F</w:t>
      </w:r>
      <w:r w:rsidRPr="00FE17ED">
        <w:rPr>
          <w:rFonts w:hint="eastAsia"/>
        </w:rPr>
        <w:t>ull proposal</w:t>
      </w:r>
      <w:r w:rsidRPr="00FE17ED">
        <w:rPr>
          <w:rFonts w:hint="eastAsia"/>
        </w:rPr>
        <w:t>審查結果。</w:t>
      </w:r>
      <w:r w:rsidR="00210EED" w:rsidRPr="00FE17ED">
        <w:rPr>
          <w:rFonts w:hint="eastAsia"/>
        </w:rPr>
        <w:t>歐盟公告</w:t>
      </w:r>
      <w:r w:rsidR="00285636">
        <w:rPr>
          <w:rFonts w:hint="eastAsia"/>
        </w:rPr>
        <w:t>F</w:t>
      </w:r>
      <w:r w:rsidR="00C44124" w:rsidRPr="00FE17ED">
        <w:rPr>
          <w:rFonts w:hint="eastAsia"/>
        </w:rPr>
        <w:t>ull proposal</w:t>
      </w:r>
      <w:r w:rsidR="002C4EAF" w:rsidRPr="00FE17ED">
        <w:rPr>
          <w:rFonts w:hint="eastAsia"/>
        </w:rPr>
        <w:t>通過名單</w:t>
      </w:r>
      <w:r w:rsidR="00210EED" w:rsidRPr="00FE17ED">
        <w:rPr>
          <w:rFonts w:hint="eastAsia"/>
        </w:rPr>
        <w:t>後，</w:t>
      </w:r>
      <w:r w:rsidR="00246A23" w:rsidRPr="00317FB5">
        <w:rPr>
          <w:rFonts w:hint="eastAsia"/>
          <w:b/>
        </w:rPr>
        <w:t>通過之申請人</w:t>
      </w:r>
      <w:r w:rsidR="00285636" w:rsidRPr="00317FB5">
        <w:rPr>
          <w:rFonts w:hint="eastAsia"/>
          <w:b/>
        </w:rPr>
        <w:t>需</w:t>
      </w:r>
      <w:r w:rsidR="000210A2" w:rsidRPr="00317FB5">
        <w:rPr>
          <w:rFonts w:hint="eastAsia"/>
          <w:b/>
        </w:rPr>
        <w:t>將</w:t>
      </w:r>
      <w:r w:rsidR="00246A23" w:rsidRPr="00317FB5">
        <w:rPr>
          <w:rFonts w:hint="eastAsia"/>
          <w:b/>
        </w:rPr>
        <w:t>完整計畫書及所分配工作項目，</w:t>
      </w:r>
      <w:r w:rsidR="00F54599" w:rsidRPr="00317FB5">
        <w:rPr>
          <w:b/>
        </w:rPr>
        <w:t>循本部</w:t>
      </w:r>
      <w:proofErr w:type="gramStart"/>
      <w:r w:rsidR="00F54599" w:rsidRPr="00317FB5">
        <w:rPr>
          <w:b/>
        </w:rPr>
        <w:t>10</w:t>
      </w:r>
      <w:r w:rsidR="00F54599" w:rsidRPr="00317FB5">
        <w:rPr>
          <w:rFonts w:hint="eastAsia"/>
          <w:b/>
        </w:rPr>
        <w:t>4</w:t>
      </w:r>
      <w:proofErr w:type="gramEnd"/>
      <w:r w:rsidR="00F54599" w:rsidRPr="00317FB5">
        <w:rPr>
          <w:b/>
        </w:rPr>
        <w:t>年度專題研</w:t>
      </w:r>
      <w:r w:rsidR="00F54599" w:rsidRPr="00317FB5">
        <w:rPr>
          <w:rFonts w:hint="eastAsia"/>
          <w:b/>
        </w:rPr>
        <w:t>究</w:t>
      </w:r>
      <w:proofErr w:type="gramStart"/>
      <w:r w:rsidR="00F54599" w:rsidRPr="00317FB5">
        <w:rPr>
          <w:rFonts w:hint="eastAsia"/>
          <w:b/>
        </w:rPr>
        <w:t>計畫</w:t>
      </w:r>
      <w:r w:rsidR="00F54599" w:rsidRPr="00317FB5">
        <w:rPr>
          <w:b/>
        </w:rPr>
        <w:t>線上申請</w:t>
      </w:r>
      <w:proofErr w:type="gramEnd"/>
      <w:r w:rsidR="00F54599" w:rsidRPr="00317FB5">
        <w:rPr>
          <w:b/>
        </w:rPr>
        <w:t>計畫方式</w:t>
      </w:r>
      <w:r w:rsidR="00F54599" w:rsidRPr="00317FB5">
        <w:rPr>
          <w:rFonts w:hint="eastAsia"/>
          <w:b/>
        </w:rPr>
        <w:t>向本部正式提出申請</w:t>
      </w:r>
      <w:r w:rsidR="00F54599" w:rsidRPr="00317FB5">
        <w:rPr>
          <w:b/>
        </w:rPr>
        <w:t>，</w:t>
      </w:r>
      <w:r w:rsidR="00F54599" w:rsidRPr="00317FB5">
        <w:rPr>
          <w:rFonts w:hint="eastAsia"/>
          <w:b/>
        </w:rPr>
        <w:t>並依指定</w:t>
      </w:r>
      <w:proofErr w:type="gramStart"/>
      <w:r w:rsidR="00F54599" w:rsidRPr="00317FB5">
        <w:rPr>
          <w:rFonts w:hint="eastAsia"/>
          <w:b/>
        </w:rPr>
        <w:t>日期前</w:t>
      </w:r>
      <w:r w:rsidR="00F54599" w:rsidRPr="00317FB5">
        <w:rPr>
          <w:b/>
        </w:rPr>
        <w:t>造具</w:t>
      </w:r>
      <w:proofErr w:type="gramEnd"/>
      <w:r w:rsidR="00F54599" w:rsidRPr="00317FB5">
        <w:rPr>
          <w:b/>
        </w:rPr>
        <w:t>申請</w:t>
      </w:r>
      <w:proofErr w:type="gramStart"/>
      <w:r w:rsidR="00F54599" w:rsidRPr="00317FB5">
        <w:rPr>
          <w:b/>
        </w:rPr>
        <w:t>名冊</w:t>
      </w:r>
      <w:r w:rsidR="00F54599" w:rsidRPr="00317FB5">
        <w:rPr>
          <w:rFonts w:hint="eastAsia"/>
          <w:b/>
          <w:u w:val="single"/>
        </w:rPr>
        <w:t>備</w:t>
      </w:r>
      <w:r w:rsidR="00F54599" w:rsidRPr="00317FB5">
        <w:rPr>
          <w:b/>
          <w:u w:val="single"/>
        </w:rPr>
        <w:t>函送</w:t>
      </w:r>
      <w:r w:rsidR="00F54599" w:rsidRPr="00317FB5">
        <w:rPr>
          <w:rFonts w:hint="eastAsia"/>
          <w:b/>
          <w:u w:val="single"/>
        </w:rPr>
        <w:t>達</w:t>
      </w:r>
      <w:proofErr w:type="gramEnd"/>
      <w:r w:rsidR="00F54599" w:rsidRPr="00317FB5">
        <w:rPr>
          <w:rFonts w:hint="eastAsia"/>
          <w:b/>
          <w:u w:val="single"/>
        </w:rPr>
        <w:t>本部</w:t>
      </w:r>
      <w:r w:rsidR="00F54599" w:rsidRPr="00317FB5">
        <w:rPr>
          <w:rFonts w:hint="eastAsia"/>
          <w:b/>
          <w:u w:val="single"/>
        </w:rPr>
        <w:t>*</w:t>
      </w:r>
      <w:r w:rsidR="000210A2" w:rsidRPr="00F54599">
        <w:rPr>
          <w:rFonts w:hint="eastAsia"/>
        </w:rPr>
        <w:t>。</w:t>
      </w:r>
      <w:r w:rsidR="00510EC7">
        <w:rPr>
          <w:rFonts w:hint="eastAsia"/>
        </w:rPr>
        <w:t>本</w:t>
      </w:r>
      <w:r w:rsidR="008639AD">
        <w:rPr>
          <w:rFonts w:hint="eastAsia"/>
        </w:rPr>
        <w:t>部</w:t>
      </w:r>
      <w:r w:rsidR="000210A2">
        <w:rPr>
          <w:rFonts w:hint="eastAsia"/>
        </w:rPr>
        <w:t>將</w:t>
      </w:r>
      <w:r w:rsidR="000210A2" w:rsidRPr="005C6598">
        <w:rPr>
          <w:rFonts w:hint="eastAsia"/>
        </w:rPr>
        <w:t>依據</w:t>
      </w:r>
      <w:r w:rsidR="000210A2">
        <w:rPr>
          <w:rFonts w:hint="eastAsia"/>
        </w:rPr>
        <w:t>歐盟通過計畫書之</w:t>
      </w:r>
      <w:r w:rsidR="000210A2" w:rsidRPr="005C6598">
        <w:rPr>
          <w:rFonts w:hint="eastAsia"/>
        </w:rPr>
        <w:t>工作項目核定適當經費，額度以每件計畫</w:t>
      </w:r>
      <w:r w:rsidR="00A10CA5">
        <w:rPr>
          <w:rFonts w:hint="eastAsia"/>
        </w:rPr>
        <w:t>每年</w:t>
      </w:r>
      <w:r w:rsidR="000210A2" w:rsidRPr="005C6598">
        <w:rPr>
          <w:rFonts w:hint="eastAsia"/>
        </w:rPr>
        <w:t>300</w:t>
      </w:r>
      <w:r w:rsidR="000210A2" w:rsidRPr="005C6598">
        <w:rPr>
          <w:rFonts w:hint="eastAsia"/>
        </w:rPr>
        <w:t>萬元</w:t>
      </w:r>
      <w:r w:rsidR="000210A2" w:rsidRPr="00861F20">
        <w:rPr>
          <w:rFonts w:hint="eastAsia"/>
        </w:rPr>
        <w:t>為上限</w:t>
      </w:r>
      <w:r w:rsidR="00D307BF" w:rsidRPr="00FE17ED">
        <w:rPr>
          <w:rFonts w:ascii="新細明體" w:hAnsi="新細明體" w:hint="eastAsia"/>
        </w:rPr>
        <w:t>。</w:t>
      </w:r>
      <w:proofErr w:type="gramStart"/>
      <w:r w:rsidR="00F54599">
        <w:rPr>
          <w:rFonts w:ascii="新細明體" w:hAnsi="新細明體" w:hint="eastAsia"/>
        </w:rPr>
        <w:t>（</w:t>
      </w:r>
      <w:proofErr w:type="gramEnd"/>
      <w:r w:rsidR="00F54599">
        <w:rPr>
          <w:rFonts w:hint="eastAsia"/>
        </w:rPr>
        <w:t>*</w:t>
      </w:r>
      <w:r w:rsidR="00F54599">
        <w:rPr>
          <w:rFonts w:hint="eastAsia"/>
        </w:rPr>
        <w:t>公文送達日期請待本部承辦人另通知</w:t>
      </w:r>
      <w:r w:rsidR="00F54599">
        <w:rPr>
          <w:rFonts w:ascii="標楷體" w:hAnsi="標楷體" w:hint="eastAsia"/>
        </w:rPr>
        <w:t>。</w:t>
      </w:r>
      <w:r w:rsidR="00F54599">
        <w:rPr>
          <w:rFonts w:ascii="新細明體" w:hAnsi="新細明體" w:hint="eastAsia"/>
        </w:rPr>
        <w:t>）</w:t>
      </w:r>
    </w:p>
    <w:p w:rsidR="00DD1577" w:rsidRDefault="00510EC7" w:rsidP="00DD7F3B">
      <w:pPr>
        <w:pStyle w:val="ab"/>
        <w:numPr>
          <w:ilvl w:val="0"/>
          <w:numId w:val="2"/>
        </w:numPr>
        <w:adjustRightInd w:val="0"/>
        <w:ind w:leftChars="0" w:left="766" w:hanging="482"/>
        <w:jc w:val="both"/>
        <w:rPr>
          <w:rFonts w:hint="eastAsia"/>
        </w:rPr>
      </w:pPr>
      <w:r>
        <w:rPr>
          <w:rFonts w:hint="eastAsia"/>
          <w:u w:val="single"/>
        </w:rPr>
        <w:t>本類</w:t>
      </w:r>
      <w:bookmarkStart w:id="2" w:name="_GoBack"/>
      <w:bookmarkEnd w:id="2"/>
      <w:r w:rsidR="00954F28" w:rsidRPr="000210A2">
        <w:rPr>
          <w:rFonts w:hint="eastAsia"/>
          <w:u w:val="single"/>
        </w:rPr>
        <w:t>計畫屬於</w:t>
      </w:r>
      <w:r w:rsidR="00954F28" w:rsidRPr="00510EC7">
        <w:rPr>
          <w:rFonts w:hint="eastAsia"/>
          <w:b/>
          <w:u w:val="single"/>
        </w:rPr>
        <w:t>研究案</w:t>
      </w:r>
      <w:r w:rsidR="00954F28" w:rsidRPr="000210A2">
        <w:rPr>
          <w:rFonts w:hint="eastAsia"/>
          <w:u w:val="single"/>
        </w:rPr>
        <w:t>，</w:t>
      </w:r>
      <w:r w:rsidR="008E0BEB">
        <w:rPr>
          <w:rFonts w:hint="eastAsia"/>
          <w:u w:val="single"/>
        </w:rPr>
        <w:t>經本部</w:t>
      </w:r>
      <w:r w:rsidR="00954F28" w:rsidRPr="000210A2">
        <w:rPr>
          <w:rFonts w:hint="eastAsia"/>
          <w:u w:val="single"/>
        </w:rPr>
        <w:t>核定通過後將計算件數</w:t>
      </w:r>
      <w:r w:rsidR="00954F28">
        <w:rPr>
          <w:rFonts w:ascii="標楷體" w:hAnsi="標楷體" w:hint="eastAsia"/>
        </w:rPr>
        <w:t>。</w:t>
      </w:r>
    </w:p>
    <w:p w:rsidR="00510EC7" w:rsidRPr="00FE17ED" w:rsidRDefault="00510EC7" w:rsidP="00DD7F3B">
      <w:pPr>
        <w:pStyle w:val="ab"/>
        <w:numPr>
          <w:ilvl w:val="0"/>
          <w:numId w:val="2"/>
        </w:numPr>
        <w:adjustRightInd w:val="0"/>
        <w:ind w:leftChars="0" w:left="766" w:hanging="482"/>
        <w:jc w:val="both"/>
      </w:pPr>
      <w:r w:rsidRPr="00F4431D">
        <w:rPr>
          <w:color w:val="000000"/>
        </w:rPr>
        <w:t>本</w:t>
      </w:r>
      <w:proofErr w:type="gramStart"/>
      <w:r w:rsidRPr="00F4431D">
        <w:rPr>
          <w:color w:val="000000"/>
        </w:rPr>
        <w:t>計畫無申覆</w:t>
      </w:r>
      <w:proofErr w:type="gramEnd"/>
      <w:r w:rsidRPr="00F4431D">
        <w:rPr>
          <w:color w:val="000000"/>
        </w:rPr>
        <w:t>機制。</w:t>
      </w:r>
    </w:p>
    <w:p w:rsidR="0029262C" w:rsidRPr="00DD1577" w:rsidRDefault="000210A2" w:rsidP="00DD7F3B">
      <w:pPr>
        <w:pStyle w:val="ab"/>
        <w:numPr>
          <w:ilvl w:val="0"/>
          <w:numId w:val="2"/>
        </w:numPr>
        <w:adjustRightInd w:val="0"/>
        <w:ind w:leftChars="0" w:left="766" w:hanging="482"/>
        <w:jc w:val="both"/>
      </w:pPr>
      <w:r>
        <w:rPr>
          <w:rFonts w:hint="eastAsia"/>
        </w:rPr>
        <w:t>聯絡人：</w:t>
      </w:r>
      <w:r>
        <w:br/>
      </w:r>
      <w:r w:rsidR="0011622D">
        <w:rPr>
          <w:rFonts w:hint="eastAsia"/>
        </w:rPr>
        <w:t>奈米國家型計畫辦公室</w:t>
      </w:r>
      <w:r w:rsidR="00744D43">
        <w:rPr>
          <w:rFonts w:hint="eastAsia"/>
        </w:rPr>
        <w:t xml:space="preserve"> </w:t>
      </w:r>
      <w:r w:rsidR="0011622D">
        <w:rPr>
          <w:rFonts w:hint="eastAsia"/>
        </w:rPr>
        <w:t>王</w:t>
      </w:r>
      <w:proofErr w:type="gramStart"/>
      <w:r w:rsidR="0011622D">
        <w:rPr>
          <w:rFonts w:hint="eastAsia"/>
        </w:rPr>
        <w:t>姵</w:t>
      </w:r>
      <w:proofErr w:type="gramEnd"/>
      <w:r w:rsidR="0011622D">
        <w:rPr>
          <w:rFonts w:hint="eastAsia"/>
        </w:rPr>
        <w:t>鈞</w:t>
      </w:r>
      <w:r w:rsidR="0011622D" w:rsidRPr="00861F20">
        <w:rPr>
          <w:rFonts w:hint="eastAsia"/>
        </w:rPr>
        <w:t>小姐</w:t>
      </w:r>
      <w:r w:rsidR="0011622D" w:rsidRPr="00861F20">
        <w:rPr>
          <w:rFonts w:hint="eastAsia"/>
        </w:rPr>
        <w:t>(</w:t>
      </w:r>
      <w:r w:rsidR="0011622D">
        <w:rPr>
          <w:rFonts w:hint="eastAsia"/>
        </w:rPr>
        <w:t xml:space="preserve">email: </w:t>
      </w:r>
      <w:r w:rsidR="0011622D" w:rsidRPr="00744D43">
        <w:rPr>
          <w:rFonts w:hint="eastAsia"/>
        </w:rPr>
        <w:t>andreawang@nctu.edu.tw)</w:t>
      </w:r>
      <w:r w:rsidR="0011622D" w:rsidRPr="00744D43">
        <w:rPr>
          <w:rFonts w:hint="eastAsia"/>
        </w:rPr>
        <w:t>，電話</w:t>
      </w:r>
      <w:r w:rsidR="0011622D" w:rsidRPr="00744D43">
        <w:rPr>
          <w:rFonts w:hint="eastAsia"/>
        </w:rPr>
        <w:t>03-5165727</w:t>
      </w:r>
      <w:r w:rsidR="0011622D">
        <w:rPr>
          <w:rFonts w:hint="eastAsia"/>
        </w:rPr>
        <w:t>；</w:t>
      </w:r>
      <w:r w:rsidR="0011622D">
        <w:br/>
      </w:r>
      <w:r w:rsidR="0011622D">
        <w:rPr>
          <w:rFonts w:hint="eastAsia"/>
        </w:rPr>
        <w:t>科技</w:t>
      </w:r>
      <w:proofErr w:type="gramStart"/>
      <w:r w:rsidR="0011622D">
        <w:rPr>
          <w:rFonts w:hint="eastAsia"/>
        </w:rPr>
        <w:t>部科國司</w:t>
      </w:r>
      <w:proofErr w:type="gramEnd"/>
      <w:r w:rsidR="00500BA2">
        <w:rPr>
          <w:rFonts w:hint="eastAsia"/>
        </w:rPr>
        <w:t xml:space="preserve"> </w:t>
      </w:r>
      <w:r w:rsidR="0011622D">
        <w:rPr>
          <w:rFonts w:hint="eastAsia"/>
        </w:rPr>
        <w:t>陳禹銘博士</w:t>
      </w:r>
      <w:r w:rsidR="0011622D">
        <w:rPr>
          <w:rFonts w:hint="eastAsia"/>
        </w:rPr>
        <w:t>(</w:t>
      </w:r>
      <w:r w:rsidR="00CC5B64">
        <w:rPr>
          <w:rFonts w:hint="eastAsia"/>
        </w:rPr>
        <w:t xml:space="preserve">email: </w:t>
      </w:r>
      <w:r w:rsidR="00CC5B64" w:rsidRPr="00744D43">
        <w:rPr>
          <w:rFonts w:hint="eastAsia"/>
        </w:rPr>
        <w:t>ymchen@most.gov.tw)</w:t>
      </w:r>
      <w:r w:rsidR="00CC5B64" w:rsidRPr="00744D43">
        <w:rPr>
          <w:rFonts w:hint="eastAsia"/>
        </w:rPr>
        <w:t>，電話</w:t>
      </w:r>
      <w:r w:rsidR="00CC5B64" w:rsidRPr="00744D43">
        <w:rPr>
          <w:rFonts w:hint="eastAsia"/>
        </w:rPr>
        <w:t>02-27377959</w:t>
      </w:r>
      <w:r w:rsidR="00CC5B64">
        <w:rPr>
          <w:rFonts w:hint="eastAsia"/>
        </w:rPr>
        <w:t>；</w:t>
      </w:r>
      <w:r w:rsidR="0011622D">
        <w:br/>
      </w:r>
      <w:r w:rsidR="008639AD">
        <w:rPr>
          <w:rFonts w:hint="eastAsia"/>
        </w:rPr>
        <w:t>科技部自然司</w:t>
      </w:r>
      <w:r w:rsidR="00500BA2">
        <w:rPr>
          <w:rFonts w:hint="eastAsia"/>
        </w:rPr>
        <w:t xml:space="preserve"> </w:t>
      </w:r>
      <w:r w:rsidR="0029262C" w:rsidRPr="00861F20">
        <w:rPr>
          <w:rFonts w:hint="eastAsia"/>
        </w:rPr>
        <w:t>王心頎小姐</w:t>
      </w:r>
      <w:r w:rsidR="00CC5B64">
        <w:rPr>
          <w:rFonts w:hint="eastAsia"/>
        </w:rPr>
        <w:t>(email: soa145</w:t>
      </w:r>
      <w:r w:rsidR="00CC5B64">
        <w:rPr>
          <w:rFonts w:hint="eastAsia"/>
        </w:rPr>
        <w:t>@most.gov.tw</w:t>
      </w:r>
      <w:r w:rsidR="0029262C" w:rsidRPr="00861F20">
        <w:rPr>
          <w:rFonts w:hint="eastAsia"/>
        </w:rPr>
        <w:t>)</w:t>
      </w:r>
      <w:r>
        <w:rPr>
          <w:rFonts w:hint="eastAsia"/>
        </w:rPr>
        <w:t>，電話</w:t>
      </w:r>
      <w:r w:rsidR="0029262C" w:rsidRPr="00861F20">
        <w:rPr>
          <w:rFonts w:hint="eastAsia"/>
        </w:rPr>
        <w:t xml:space="preserve"> 02-2737702</w:t>
      </w:r>
      <w:r w:rsidR="00B76A5B" w:rsidRPr="00861F20">
        <w:rPr>
          <w:rFonts w:hint="eastAsia"/>
        </w:rPr>
        <w:t>2</w:t>
      </w:r>
      <w:r w:rsidR="00CC5B64">
        <w:rPr>
          <w:rFonts w:ascii="標楷體" w:hAnsi="標楷體" w:hint="eastAsia"/>
        </w:rPr>
        <w:t>。</w:t>
      </w:r>
    </w:p>
    <w:p w:rsidR="0044338F" w:rsidRDefault="00510EC7" w:rsidP="00DD7F3B">
      <w:pPr>
        <w:pStyle w:val="ab"/>
        <w:numPr>
          <w:ilvl w:val="0"/>
          <w:numId w:val="4"/>
        </w:numPr>
        <w:adjustRightInd w:val="0"/>
        <w:spacing w:before="100" w:beforeAutospacing="1" w:afterLines="100" w:after="360"/>
        <w:ind w:leftChars="0" w:left="566" w:hangingChars="236" w:hanging="566"/>
        <w:jc w:val="both"/>
      </w:pPr>
      <w:r w:rsidRPr="001727C3">
        <w:rPr>
          <w:color w:val="000000"/>
        </w:rPr>
        <w:t>通過核定後之計畫，請依</w:t>
      </w:r>
      <w:r>
        <w:rPr>
          <w:rFonts w:hint="eastAsia"/>
          <w:color w:val="000000"/>
        </w:rPr>
        <w:t>本部</w:t>
      </w:r>
      <w:r w:rsidRPr="001727C3">
        <w:rPr>
          <w:color w:val="000000"/>
        </w:rPr>
        <w:t>相關規定繳交研究成果及結案報告等，及每半年提供一次計畫執行成效。</w:t>
      </w:r>
      <w:r w:rsidRPr="00510EC7">
        <w:rPr>
          <w:color w:val="000000"/>
        </w:rPr>
        <w:t>必要時，得請計畫主持人至本</w:t>
      </w:r>
      <w:r w:rsidRPr="00510EC7">
        <w:rPr>
          <w:rFonts w:hint="eastAsia"/>
          <w:color w:val="000000"/>
        </w:rPr>
        <w:t>部指定場所口頭</w:t>
      </w:r>
      <w:r w:rsidRPr="00510EC7">
        <w:rPr>
          <w:color w:val="000000"/>
        </w:rPr>
        <w:t>報告</w:t>
      </w:r>
      <w:r>
        <w:rPr>
          <w:rFonts w:hint="eastAsia"/>
          <w:color w:val="000000"/>
        </w:rPr>
        <w:t>，或配合本部辦理實地考評審查</w:t>
      </w:r>
      <w:r w:rsidRPr="001727C3">
        <w:rPr>
          <w:rFonts w:hint="eastAsia"/>
          <w:color w:val="000000"/>
        </w:rPr>
        <w:t>。</w:t>
      </w:r>
    </w:p>
    <w:p w:rsidR="00730D91" w:rsidRPr="00E60F6F" w:rsidRDefault="00F92B95" w:rsidP="00DD7F3B">
      <w:pPr>
        <w:pStyle w:val="ab"/>
        <w:numPr>
          <w:ilvl w:val="0"/>
          <w:numId w:val="4"/>
        </w:numPr>
        <w:adjustRightInd w:val="0"/>
        <w:spacing w:before="100" w:beforeAutospacing="1" w:afterLines="100" w:after="360"/>
        <w:ind w:leftChars="0" w:left="567" w:hanging="567"/>
        <w:jc w:val="both"/>
      </w:pPr>
      <w:r w:rsidRPr="005853F0">
        <w:rPr>
          <w:rFonts w:hint="eastAsia"/>
          <w:szCs w:val="28"/>
        </w:rPr>
        <w:t>本</w:t>
      </w:r>
      <w:r>
        <w:rPr>
          <w:rFonts w:hint="eastAsia"/>
          <w:szCs w:val="28"/>
        </w:rPr>
        <w:t>徵求公告</w:t>
      </w:r>
      <w:r w:rsidRPr="005853F0">
        <w:rPr>
          <w:rFonts w:hint="eastAsia"/>
          <w:szCs w:val="28"/>
        </w:rPr>
        <w:t>未盡事宜</w:t>
      </w:r>
      <w:r w:rsidR="00730D91">
        <w:rPr>
          <w:rFonts w:hint="eastAsia"/>
        </w:rPr>
        <w:t>，</w:t>
      </w:r>
      <w:r>
        <w:rPr>
          <w:rFonts w:hint="eastAsia"/>
        </w:rPr>
        <w:t>應</w:t>
      </w:r>
      <w:r w:rsidR="00730D91">
        <w:rPr>
          <w:rFonts w:hint="eastAsia"/>
        </w:rPr>
        <w:t>依</w:t>
      </w:r>
      <w:r w:rsidR="00730D91" w:rsidRPr="00F314CF">
        <w:t>「</w:t>
      </w:r>
      <w:r w:rsidR="008639AD">
        <w:rPr>
          <w:rFonts w:hint="eastAsia"/>
        </w:rPr>
        <w:t>科技部</w:t>
      </w:r>
      <w:r w:rsidR="00730D91" w:rsidRPr="00730D91">
        <w:rPr>
          <w:rFonts w:hint="eastAsia"/>
        </w:rPr>
        <w:t>補助專題研究計畫作業要點</w:t>
      </w:r>
      <w:r w:rsidR="00730D91" w:rsidRPr="00F314CF">
        <w:t>」</w:t>
      </w:r>
      <w:r w:rsidR="00730D91">
        <w:rPr>
          <w:rFonts w:ascii="標楷體" w:hAnsi="標楷體" w:hint="eastAsia"/>
        </w:rPr>
        <w:t>、</w:t>
      </w:r>
      <w:r w:rsidR="00730D91" w:rsidRPr="00F314CF">
        <w:t>「</w:t>
      </w:r>
      <w:r w:rsidR="008639AD">
        <w:rPr>
          <w:rFonts w:hint="eastAsia"/>
        </w:rPr>
        <w:t>科技部</w:t>
      </w:r>
      <w:r w:rsidR="00730D91" w:rsidRPr="00730D91">
        <w:rPr>
          <w:rFonts w:hint="eastAsia"/>
        </w:rPr>
        <w:t>補助專題研究計畫經費處理原則</w:t>
      </w:r>
      <w:r w:rsidR="00730D91" w:rsidRPr="00F314CF">
        <w:t>」</w:t>
      </w:r>
      <w:r w:rsidR="00730D91">
        <w:rPr>
          <w:rFonts w:hint="eastAsia"/>
        </w:rPr>
        <w:t>及其他相關規定辦理</w:t>
      </w:r>
      <w:r w:rsidR="00B44404">
        <w:rPr>
          <w:rFonts w:ascii="標楷體" w:hAnsi="標楷體" w:hint="eastAsia"/>
        </w:rPr>
        <w:t>。</w:t>
      </w:r>
    </w:p>
    <w:p w:rsidR="007E7DF1" w:rsidRPr="00E60F6F" w:rsidRDefault="00C847DE" w:rsidP="00C37CF1">
      <w:pPr>
        <w:pStyle w:val="ab"/>
        <w:numPr>
          <w:ilvl w:val="0"/>
          <w:numId w:val="4"/>
        </w:numPr>
        <w:adjustRightInd w:val="0"/>
        <w:spacing w:before="100" w:beforeAutospacing="1" w:after="100" w:afterAutospacing="1" w:line="360" w:lineRule="auto"/>
        <w:ind w:leftChars="0" w:left="566" w:hangingChars="236" w:hanging="566"/>
        <w:jc w:val="both"/>
      </w:pPr>
      <w:r w:rsidRPr="00E60F6F">
        <w:t>相同研究計畫內容，不得重複向</w:t>
      </w:r>
      <w:proofErr w:type="gramStart"/>
      <w:r w:rsidR="008639AD">
        <w:rPr>
          <w:rFonts w:hint="eastAsia"/>
        </w:rPr>
        <w:t>科技部</w:t>
      </w:r>
      <w:r w:rsidRPr="00E60F6F">
        <w:t>或</w:t>
      </w:r>
      <w:r w:rsidR="00285636">
        <w:rPr>
          <w:rFonts w:hint="eastAsia"/>
        </w:rPr>
        <w:t>本國</w:t>
      </w:r>
      <w:proofErr w:type="gramEnd"/>
      <w:r w:rsidRPr="00E60F6F">
        <w:t>其他機構申請。</w:t>
      </w:r>
    </w:p>
    <w:sectPr w:rsidR="007E7DF1" w:rsidRPr="00E60F6F" w:rsidSect="00087E8C">
      <w:pgSz w:w="11906" w:h="16838"/>
      <w:pgMar w:top="1440" w:right="1416"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53" w:rsidRDefault="00346E53" w:rsidP="009E4CFD">
      <w:r>
        <w:separator/>
      </w:r>
    </w:p>
  </w:endnote>
  <w:endnote w:type="continuationSeparator" w:id="0">
    <w:p w:rsidR="00346E53" w:rsidRDefault="00346E53" w:rsidP="009E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53" w:rsidRDefault="00346E53" w:rsidP="009E4CFD">
      <w:r>
        <w:separator/>
      </w:r>
    </w:p>
  </w:footnote>
  <w:footnote w:type="continuationSeparator" w:id="0">
    <w:p w:rsidR="00346E53" w:rsidRDefault="00346E53" w:rsidP="009E4CFD">
      <w:r>
        <w:continuationSeparator/>
      </w:r>
    </w:p>
  </w:footnote>
  <w:footnote w:id="1">
    <w:p w:rsidR="00711C16" w:rsidRPr="00D611FD" w:rsidRDefault="00711C16" w:rsidP="00711C16">
      <w:pPr>
        <w:pStyle w:val="af0"/>
      </w:pPr>
      <w:r>
        <w:rPr>
          <w:rStyle w:val="af2"/>
        </w:rPr>
        <w:footnoteRef/>
      </w:r>
      <w:r>
        <w:t xml:space="preserve"> </w:t>
      </w:r>
      <w:hyperlink r:id="rId1" w:history="1">
        <w:r w:rsidRPr="00D611FD">
          <w:rPr>
            <w:rStyle w:val="a9"/>
          </w:rPr>
          <w:t>http://ec.europa.eu/energy/technology/set_plan/set_plan_en.htm</w:t>
        </w:r>
      </w:hyperlink>
    </w:p>
  </w:footnote>
  <w:footnote w:id="2">
    <w:p w:rsidR="00711C16" w:rsidRPr="00D611FD" w:rsidRDefault="00711C16" w:rsidP="00711C16">
      <w:pPr>
        <w:ind w:left="709"/>
        <w:rPr>
          <w:sz w:val="20"/>
          <w:szCs w:val="20"/>
          <w:lang w:val="de-CH"/>
        </w:rPr>
      </w:pPr>
      <w:r w:rsidRPr="00D611FD">
        <w:rPr>
          <w:rStyle w:val="af2"/>
          <w:sz w:val="20"/>
          <w:szCs w:val="20"/>
        </w:rPr>
        <w:footnoteRef/>
      </w:r>
      <w:r w:rsidRPr="00D611FD">
        <w:rPr>
          <w:sz w:val="20"/>
          <w:szCs w:val="20"/>
        </w:rPr>
        <w:t xml:space="preserve"> </w:t>
      </w:r>
      <w:hyperlink r:id="rId2" w:history="1">
        <w:r w:rsidRPr="00D611FD">
          <w:rPr>
            <w:rStyle w:val="a9"/>
            <w:sz w:val="20"/>
            <w:szCs w:val="20"/>
            <w:lang w:val="de-CH"/>
          </w:rPr>
          <w:t>http://ec.europa.eu/enterprise/policies/raw-materials/critical/index_en.htm</w:t>
        </w:r>
      </w:hyperlink>
    </w:p>
    <w:p w:rsidR="00711C16" w:rsidRPr="00D611FD" w:rsidRDefault="00711C16" w:rsidP="00711C16">
      <w:pPr>
        <w:pStyle w:val="af0"/>
      </w:pPr>
    </w:p>
  </w:footnote>
  <w:footnote w:id="3">
    <w:p w:rsidR="00711C16" w:rsidRPr="00942DC6" w:rsidRDefault="00711C16" w:rsidP="00711C16">
      <w:pPr>
        <w:rPr>
          <w:sz w:val="20"/>
          <w:szCs w:val="20"/>
        </w:rPr>
      </w:pPr>
      <w:r>
        <w:rPr>
          <w:rStyle w:val="af2"/>
        </w:rPr>
        <w:footnoteRef/>
      </w:r>
      <w:r w:rsidRPr="0080617B">
        <w:t xml:space="preserve"> </w:t>
      </w:r>
      <w:r>
        <w:rPr>
          <w:sz w:val="20"/>
          <w:szCs w:val="20"/>
        </w:rPr>
        <w:t>A</w:t>
      </w:r>
      <w:r w:rsidRPr="00942DC6">
        <w:rPr>
          <w:sz w:val="20"/>
          <w:szCs w:val="20"/>
        </w:rPr>
        <w:t xml:space="preserve">ccording to the IUPAC definition for a biosensor: A device that uses specific biochemical reactions mediated by isolated </w:t>
      </w:r>
      <w:hyperlink r:id="rId3" w:history="1">
        <w:r w:rsidRPr="00942DC6">
          <w:rPr>
            <w:rStyle w:val="a9"/>
            <w:sz w:val="20"/>
            <w:szCs w:val="20"/>
          </w:rPr>
          <w:t>enzymes</w:t>
        </w:r>
      </w:hyperlink>
      <w:r w:rsidRPr="00942DC6">
        <w:rPr>
          <w:sz w:val="20"/>
          <w:szCs w:val="20"/>
        </w:rPr>
        <w:t xml:space="preserve">, </w:t>
      </w:r>
      <w:proofErr w:type="spellStart"/>
      <w:r w:rsidRPr="00942DC6">
        <w:rPr>
          <w:sz w:val="20"/>
          <w:szCs w:val="20"/>
        </w:rPr>
        <w:t>immunosystems</w:t>
      </w:r>
      <w:proofErr w:type="spellEnd"/>
      <w:r w:rsidRPr="00942DC6">
        <w:rPr>
          <w:sz w:val="20"/>
          <w:szCs w:val="20"/>
        </w:rPr>
        <w:t xml:space="preserve">, tissues, </w:t>
      </w:r>
      <w:hyperlink r:id="rId4" w:history="1">
        <w:r w:rsidRPr="00942DC6">
          <w:rPr>
            <w:rStyle w:val="a9"/>
            <w:sz w:val="20"/>
            <w:szCs w:val="20"/>
          </w:rPr>
          <w:t>organelles</w:t>
        </w:r>
      </w:hyperlink>
      <w:r w:rsidRPr="00942DC6">
        <w:rPr>
          <w:sz w:val="20"/>
          <w:szCs w:val="20"/>
        </w:rPr>
        <w:t xml:space="preserve"> or whole cells to detect chemical compounds usually by electrical, thermal or optical signals. </w:t>
      </w:r>
      <w:proofErr w:type="gramStart"/>
      <w:r w:rsidRPr="00942DC6">
        <w:rPr>
          <w:sz w:val="20"/>
          <w:szCs w:val="20"/>
        </w:rPr>
        <w:t>(Reference :</w:t>
      </w:r>
      <w:proofErr w:type="gramEnd"/>
      <w:hyperlink r:id="rId5" w:history="1">
        <w:r w:rsidRPr="00942DC6">
          <w:rPr>
            <w:rStyle w:val="a9"/>
            <w:sz w:val="20"/>
            <w:szCs w:val="20"/>
          </w:rPr>
          <w:t>http://goldbook.iupac.org/B00663.html</w:t>
        </w:r>
      </w:hyperlink>
      <w:r w:rsidRPr="00942DC6">
        <w:rPr>
          <w:sz w:val="20"/>
          <w:szCs w:val="20"/>
        </w:rPr>
        <w:t>).</w:t>
      </w:r>
    </w:p>
    <w:p w:rsidR="00711C16" w:rsidRPr="0080617B" w:rsidRDefault="00711C16" w:rsidP="00711C16">
      <w:pPr>
        <w:pStyle w:val="af0"/>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B9C"/>
    <w:multiLevelType w:val="hybridMultilevel"/>
    <w:tmpl w:val="2B5CD8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854272C"/>
    <w:multiLevelType w:val="hybridMultilevel"/>
    <w:tmpl w:val="26DAC8E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0B223CFD"/>
    <w:multiLevelType w:val="hybridMultilevel"/>
    <w:tmpl w:val="EDDA7D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73A484B"/>
    <w:multiLevelType w:val="hybridMultilevel"/>
    <w:tmpl w:val="1BB07A6C"/>
    <w:lvl w:ilvl="0" w:tplc="5ADC25BC">
      <w:start w:val="3"/>
      <w:numFmt w:val="bullet"/>
      <w:pStyle w:val="2"/>
      <w:lvlText w:val=""/>
      <w:lvlJc w:val="left"/>
      <w:pPr>
        <w:tabs>
          <w:tab w:val="num" w:pos="1200"/>
        </w:tabs>
        <w:ind w:left="1200" w:hanging="480"/>
      </w:pPr>
      <w:rPr>
        <w:rFonts w:ascii="Wingdings" w:hAnsi="Wingdings" w:hint="default"/>
        <w:sz w:val="16"/>
      </w:rPr>
    </w:lvl>
    <w:lvl w:ilvl="1" w:tplc="56383BF8">
      <w:start w:val="3"/>
      <w:numFmt w:val="bullet"/>
      <w:lvlText w:val=""/>
      <w:lvlJc w:val="left"/>
      <w:pPr>
        <w:tabs>
          <w:tab w:val="num" w:pos="1841"/>
        </w:tabs>
        <w:ind w:left="1841" w:hanging="480"/>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sz w:val="16"/>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97E24C3"/>
    <w:multiLevelType w:val="hybridMultilevel"/>
    <w:tmpl w:val="FD74DE12"/>
    <w:lvl w:ilvl="0" w:tplc="DCD0A99E">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C830EA6"/>
    <w:multiLevelType w:val="hybridMultilevel"/>
    <w:tmpl w:val="30A81578"/>
    <w:lvl w:ilvl="0" w:tplc="040B0017">
      <w:start w:val="1"/>
      <w:numFmt w:val="lowerLetter"/>
      <w:lvlText w:val="%1)"/>
      <w:lvlJc w:val="left"/>
      <w:pPr>
        <w:ind w:left="1429" w:hanging="360"/>
      </w:pPr>
    </w:lvl>
    <w:lvl w:ilvl="1" w:tplc="040B0019">
      <w:start w:val="1"/>
      <w:numFmt w:val="lowerLetter"/>
      <w:lvlText w:val="%2."/>
      <w:lvlJc w:val="left"/>
      <w:pPr>
        <w:ind w:left="2149" w:hanging="360"/>
      </w:pPr>
    </w:lvl>
    <w:lvl w:ilvl="2" w:tplc="040B001B">
      <w:start w:val="1"/>
      <w:numFmt w:val="lowerRoman"/>
      <w:lvlText w:val="%3."/>
      <w:lvlJc w:val="right"/>
      <w:pPr>
        <w:ind w:left="2869" w:hanging="180"/>
      </w:pPr>
    </w:lvl>
    <w:lvl w:ilvl="3" w:tplc="040B000F">
      <w:start w:val="1"/>
      <w:numFmt w:val="decimal"/>
      <w:lvlText w:val="%4."/>
      <w:lvlJc w:val="left"/>
      <w:pPr>
        <w:ind w:left="3589" w:hanging="360"/>
      </w:pPr>
    </w:lvl>
    <w:lvl w:ilvl="4" w:tplc="040B0019">
      <w:start w:val="1"/>
      <w:numFmt w:val="lowerLetter"/>
      <w:lvlText w:val="%5."/>
      <w:lvlJc w:val="left"/>
      <w:pPr>
        <w:ind w:left="4309" w:hanging="360"/>
      </w:pPr>
    </w:lvl>
    <w:lvl w:ilvl="5" w:tplc="040B001B">
      <w:start w:val="1"/>
      <w:numFmt w:val="lowerRoman"/>
      <w:lvlText w:val="%6."/>
      <w:lvlJc w:val="right"/>
      <w:pPr>
        <w:ind w:left="5029" w:hanging="180"/>
      </w:pPr>
    </w:lvl>
    <w:lvl w:ilvl="6" w:tplc="040B000F">
      <w:start w:val="1"/>
      <w:numFmt w:val="decimal"/>
      <w:lvlText w:val="%7."/>
      <w:lvlJc w:val="left"/>
      <w:pPr>
        <w:ind w:left="5749" w:hanging="360"/>
      </w:pPr>
    </w:lvl>
    <w:lvl w:ilvl="7" w:tplc="040B0019">
      <w:start w:val="1"/>
      <w:numFmt w:val="lowerLetter"/>
      <w:lvlText w:val="%8."/>
      <w:lvlJc w:val="left"/>
      <w:pPr>
        <w:ind w:left="6469" w:hanging="360"/>
      </w:pPr>
    </w:lvl>
    <w:lvl w:ilvl="8" w:tplc="040B001B">
      <w:start w:val="1"/>
      <w:numFmt w:val="lowerRoman"/>
      <w:lvlText w:val="%9."/>
      <w:lvlJc w:val="right"/>
      <w:pPr>
        <w:ind w:left="7189" w:hanging="180"/>
      </w:pPr>
    </w:lvl>
  </w:abstractNum>
  <w:abstractNum w:abstractNumId="6">
    <w:nsid w:val="1E3515C2"/>
    <w:multiLevelType w:val="hybridMultilevel"/>
    <w:tmpl w:val="195A1390"/>
    <w:lvl w:ilvl="0" w:tplc="6C3EE10E">
      <w:start w:val="1"/>
      <w:numFmt w:val="taiwaneseCountingThousand"/>
      <w:lvlText w:val="(%1)"/>
      <w:lvlJc w:val="left"/>
      <w:pPr>
        <w:ind w:left="720" w:hanging="480"/>
      </w:pPr>
      <w:rPr>
        <w:rFonts w:hint="eastAsia"/>
      </w:rPr>
    </w:lvl>
    <w:lvl w:ilvl="1" w:tplc="6C3EE10E">
      <w:start w:val="1"/>
      <w:numFmt w:val="taiwaneseCountingThousand"/>
      <w:lvlText w:val="(%2)"/>
      <w:lvlJc w:val="left"/>
      <w:pPr>
        <w:ind w:left="1200" w:hanging="480"/>
      </w:pPr>
      <w:rPr>
        <w:rFonts w:hint="eastAsia"/>
      </w:rPr>
    </w:lvl>
    <w:lvl w:ilvl="2" w:tplc="17D80E9A">
      <w:start w:val="1"/>
      <w:numFmt w:val="decimal"/>
      <w:lvlText w:val="%3)"/>
      <w:lvlJc w:val="left"/>
      <w:pPr>
        <w:ind w:left="1560" w:hanging="360"/>
      </w:pPr>
      <w:rPr>
        <w:rFonts w:hint="default"/>
      </w:rPr>
    </w:lvl>
    <w:lvl w:ilvl="3" w:tplc="EDFA596E">
      <w:start w:val="1"/>
      <w:numFmt w:val="decimal"/>
      <w:lvlText w:val="(%4)"/>
      <w:lvlJc w:val="left"/>
      <w:pPr>
        <w:ind w:left="2040" w:hanging="360"/>
      </w:pPr>
      <w:rPr>
        <w:rFont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39353B2"/>
    <w:multiLevelType w:val="hybridMultilevel"/>
    <w:tmpl w:val="44F02D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36DC5CF7"/>
    <w:multiLevelType w:val="hybridMultilevel"/>
    <w:tmpl w:val="4EA8E2E0"/>
    <w:lvl w:ilvl="0" w:tplc="BE6CD11A">
      <w:start w:val="1"/>
      <w:numFmt w:val="decimal"/>
      <w:lvlText w:val="%1)"/>
      <w:lvlJc w:val="left"/>
      <w:pPr>
        <w:ind w:left="1429"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nsid w:val="43AF4C5E"/>
    <w:multiLevelType w:val="hybridMultilevel"/>
    <w:tmpl w:val="E3E2D18C"/>
    <w:lvl w:ilvl="0" w:tplc="040B0001">
      <w:start w:val="1"/>
      <w:numFmt w:val="bullet"/>
      <w:lvlText w:val=""/>
      <w:lvlJc w:val="left"/>
      <w:pPr>
        <w:ind w:left="1429" w:hanging="360"/>
      </w:pPr>
      <w:rPr>
        <w:rFonts w:ascii="Symbol" w:hAnsi="Symbol" w:hint="default"/>
      </w:rPr>
    </w:lvl>
    <w:lvl w:ilvl="1" w:tplc="040B0003">
      <w:start w:val="1"/>
      <w:numFmt w:val="bullet"/>
      <w:lvlText w:val="o"/>
      <w:lvlJc w:val="left"/>
      <w:pPr>
        <w:ind w:left="2149" w:hanging="360"/>
      </w:pPr>
      <w:rPr>
        <w:rFonts w:ascii="Courier New" w:hAnsi="Courier New" w:cs="Courier New" w:hint="default"/>
      </w:rPr>
    </w:lvl>
    <w:lvl w:ilvl="2" w:tplc="040B0005">
      <w:start w:val="1"/>
      <w:numFmt w:val="bullet"/>
      <w:lvlText w:val=""/>
      <w:lvlJc w:val="left"/>
      <w:pPr>
        <w:ind w:left="2869" w:hanging="360"/>
      </w:pPr>
      <w:rPr>
        <w:rFonts w:ascii="Wingdings" w:hAnsi="Wingdings" w:hint="default"/>
      </w:rPr>
    </w:lvl>
    <w:lvl w:ilvl="3" w:tplc="040B0001">
      <w:start w:val="1"/>
      <w:numFmt w:val="bullet"/>
      <w:lvlText w:val=""/>
      <w:lvlJc w:val="left"/>
      <w:pPr>
        <w:ind w:left="3589" w:hanging="360"/>
      </w:pPr>
      <w:rPr>
        <w:rFonts w:ascii="Symbol" w:hAnsi="Symbol" w:hint="default"/>
      </w:rPr>
    </w:lvl>
    <w:lvl w:ilvl="4" w:tplc="040B0003">
      <w:start w:val="1"/>
      <w:numFmt w:val="bullet"/>
      <w:lvlText w:val="o"/>
      <w:lvlJc w:val="left"/>
      <w:pPr>
        <w:ind w:left="4309" w:hanging="360"/>
      </w:pPr>
      <w:rPr>
        <w:rFonts w:ascii="Courier New" w:hAnsi="Courier New" w:cs="Courier New" w:hint="default"/>
      </w:rPr>
    </w:lvl>
    <w:lvl w:ilvl="5" w:tplc="040B0005">
      <w:start w:val="1"/>
      <w:numFmt w:val="bullet"/>
      <w:lvlText w:val=""/>
      <w:lvlJc w:val="left"/>
      <w:pPr>
        <w:ind w:left="5029" w:hanging="360"/>
      </w:pPr>
      <w:rPr>
        <w:rFonts w:ascii="Wingdings" w:hAnsi="Wingdings" w:hint="default"/>
      </w:rPr>
    </w:lvl>
    <w:lvl w:ilvl="6" w:tplc="040B0001">
      <w:start w:val="1"/>
      <w:numFmt w:val="bullet"/>
      <w:lvlText w:val=""/>
      <w:lvlJc w:val="left"/>
      <w:pPr>
        <w:ind w:left="5749" w:hanging="360"/>
      </w:pPr>
      <w:rPr>
        <w:rFonts w:ascii="Symbol" w:hAnsi="Symbol" w:hint="default"/>
      </w:rPr>
    </w:lvl>
    <w:lvl w:ilvl="7" w:tplc="040B0003">
      <w:start w:val="1"/>
      <w:numFmt w:val="bullet"/>
      <w:lvlText w:val="o"/>
      <w:lvlJc w:val="left"/>
      <w:pPr>
        <w:ind w:left="6469" w:hanging="360"/>
      </w:pPr>
      <w:rPr>
        <w:rFonts w:ascii="Courier New" w:hAnsi="Courier New" w:cs="Courier New" w:hint="default"/>
      </w:rPr>
    </w:lvl>
    <w:lvl w:ilvl="8" w:tplc="040B0005">
      <w:start w:val="1"/>
      <w:numFmt w:val="bullet"/>
      <w:lvlText w:val=""/>
      <w:lvlJc w:val="left"/>
      <w:pPr>
        <w:ind w:left="7189" w:hanging="360"/>
      </w:pPr>
      <w:rPr>
        <w:rFonts w:ascii="Wingdings" w:hAnsi="Wingdings" w:hint="default"/>
      </w:rPr>
    </w:lvl>
  </w:abstractNum>
  <w:abstractNum w:abstractNumId="10">
    <w:nsid w:val="4B275EC7"/>
    <w:multiLevelType w:val="hybridMultilevel"/>
    <w:tmpl w:val="63B6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67CC0"/>
    <w:multiLevelType w:val="hybridMultilevel"/>
    <w:tmpl w:val="2CB69B3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6409003C"/>
    <w:multiLevelType w:val="hybridMultilevel"/>
    <w:tmpl w:val="4600C190"/>
    <w:lvl w:ilvl="0" w:tplc="04090015">
      <w:start w:val="1"/>
      <w:numFmt w:val="taiwaneseCountingThousand"/>
      <w:lvlText w:val="%1、"/>
      <w:lvlJc w:val="left"/>
      <w:pPr>
        <w:ind w:left="68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826224"/>
    <w:multiLevelType w:val="hybridMultilevel"/>
    <w:tmpl w:val="7576B046"/>
    <w:lvl w:ilvl="0" w:tplc="040B0001">
      <w:start w:val="1"/>
      <w:numFmt w:val="bullet"/>
      <w:lvlText w:val=""/>
      <w:lvlJc w:val="left"/>
      <w:pPr>
        <w:ind w:left="1429" w:hanging="360"/>
      </w:pPr>
      <w:rPr>
        <w:rFonts w:ascii="Symbol" w:hAnsi="Symbol" w:hint="default"/>
      </w:rPr>
    </w:lvl>
    <w:lvl w:ilvl="1" w:tplc="040B0003">
      <w:start w:val="1"/>
      <w:numFmt w:val="bullet"/>
      <w:lvlText w:val="o"/>
      <w:lvlJc w:val="left"/>
      <w:pPr>
        <w:ind w:left="2149" w:hanging="360"/>
      </w:pPr>
      <w:rPr>
        <w:rFonts w:ascii="Courier New" w:hAnsi="Courier New" w:cs="Courier New" w:hint="default"/>
      </w:rPr>
    </w:lvl>
    <w:lvl w:ilvl="2" w:tplc="040B0005">
      <w:start w:val="1"/>
      <w:numFmt w:val="bullet"/>
      <w:lvlText w:val=""/>
      <w:lvlJc w:val="left"/>
      <w:pPr>
        <w:ind w:left="2869" w:hanging="360"/>
      </w:pPr>
      <w:rPr>
        <w:rFonts w:ascii="Wingdings" w:hAnsi="Wingdings" w:hint="default"/>
      </w:rPr>
    </w:lvl>
    <w:lvl w:ilvl="3" w:tplc="040B0001">
      <w:start w:val="1"/>
      <w:numFmt w:val="bullet"/>
      <w:lvlText w:val=""/>
      <w:lvlJc w:val="left"/>
      <w:pPr>
        <w:ind w:left="3589" w:hanging="360"/>
      </w:pPr>
      <w:rPr>
        <w:rFonts w:ascii="Symbol" w:hAnsi="Symbol" w:hint="default"/>
      </w:rPr>
    </w:lvl>
    <w:lvl w:ilvl="4" w:tplc="040B0003">
      <w:start w:val="1"/>
      <w:numFmt w:val="bullet"/>
      <w:lvlText w:val="o"/>
      <w:lvlJc w:val="left"/>
      <w:pPr>
        <w:ind w:left="4309" w:hanging="360"/>
      </w:pPr>
      <w:rPr>
        <w:rFonts w:ascii="Courier New" w:hAnsi="Courier New" w:cs="Courier New" w:hint="default"/>
      </w:rPr>
    </w:lvl>
    <w:lvl w:ilvl="5" w:tplc="040B0005">
      <w:start w:val="1"/>
      <w:numFmt w:val="bullet"/>
      <w:lvlText w:val=""/>
      <w:lvlJc w:val="left"/>
      <w:pPr>
        <w:ind w:left="5029" w:hanging="360"/>
      </w:pPr>
      <w:rPr>
        <w:rFonts w:ascii="Wingdings" w:hAnsi="Wingdings" w:hint="default"/>
      </w:rPr>
    </w:lvl>
    <w:lvl w:ilvl="6" w:tplc="040B0001">
      <w:start w:val="1"/>
      <w:numFmt w:val="bullet"/>
      <w:lvlText w:val=""/>
      <w:lvlJc w:val="left"/>
      <w:pPr>
        <w:ind w:left="5749" w:hanging="360"/>
      </w:pPr>
      <w:rPr>
        <w:rFonts w:ascii="Symbol" w:hAnsi="Symbol" w:hint="default"/>
      </w:rPr>
    </w:lvl>
    <w:lvl w:ilvl="7" w:tplc="040B0003">
      <w:start w:val="1"/>
      <w:numFmt w:val="bullet"/>
      <w:lvlText w:val="o"/>
      <w:lvlJc w:val="left"/>
      <w:pPr>
        <w:ind w:left="6469" w:hanging="360"/>
      </w:pPr>
      <w:rPr>
        <w:rFonts w:ascii="Courier New" w:hAnsi="Courier New" w:cs="Courier New" w:hint="default"/>
      </w:rPr>
    </w:lvl>
    <w:lvl w:ilvl="8" w:tplc="040B0005">
      <w:start w:val="1"/>
      <w:numFmt w:val="bullet"/>
      <w:lvlText w:val=""/>
      <w:lvlJc w:val="left"/>
      <w:pPr>
        <w:ind w:left="7189" w:hanging="360"/>
      </w:pPr>
      <w:rPr>
        <w:rFonts w:ascii="Wingdings" w:hAnsi="Wingdings" w:hint="default"/>
      </w:rPr>
    </w:lvl>
  </w:abstractNum>
  <w:abstractNum w:abstractNumId="14">
    <w:nsid w:val="6D7A4149"/>
    <w:multiLevelType w:val="hybridMultilevel"/>
    <w:tmpl w:val="F96ADA06"/>
    <w:lvl w:ilvl="0" w:tplc="040B0011">
      <w:start w:val="1"/>
      <w:numFmt w:val="decimal"/>
      <w:lvlText w:val="%1)"/>
      <w:lvlJc w:val="left"/>
      <w:pPr>
        <w:ind w:left="1429" w:hanging="360"/>
      </w:pPr>
    </w:lvl>
    <w:lvl w:ilvl="1" w:tplc="040B0019">
      <w:start w:val="1"/>
      <w:numFmt w:val="lowerLetter"/>
      <w:lvlText w:val="%2."/>
      <w:lvlJc w:val="left"/>
      <w:pPr>
        <w:ind w:left="2149" w:hanging="360"/>
      </w:pPr>
    </w:lvl>
    <w:lvl w:ilvl="2" w:tplc="040B001B">
      <w:start w:val="1"/>
      <w:numFmt w:val="lowerRoman"/>
      <w:lvlText w:val="%3."/>
      <w:lvlJc w:val="right"/>
      <w:pPr>
        <w:ind w:left="2869" w:hanging="180"/>
      </w:pPr>
    </w:lvl>
    <w:lvl w:ilvl="3" w:tplc="040B000F">
      <w:start w:val="1"/>
      <w:numFmt w:val="decimal"/>
      <w:lvlText w:val="%4."/>
      <w:lvlJc w:val="left"/>
      <w:pPr>
        <w:ind w:left="3589" w:hanging="360"/>
      </w:pPr>
    </w:lvl>
    <w:lvl w:ilvl="4" w:tplc="040B0019">
      <w:start w:val="1"/>
      <w:numFmt w:val="lowerLetter"/>
      <w:lvlText w:val="%5."/>
      <w:lvlJc w:val="left"/>
      <w:pPr>
        <w:ind w:left="4309" w:hanging="360"/>
      </w:pPr>
    </w:lvl>
    <w:lvl w:ilvl="5" w:tplc="040B001B">
      <w:start w:val="1"/>
      <w:numFmt w:val="lowerRoman"/>
      <w:lvlText w:val="%6."/>
      <w:lvlJc w:val="right"/>
      <w:pPr>
        <w:ind w:left="5029" w:hanging="180"/>
      </w:pPr>
    </w:lvl>
    <w:lvl w:ilvl="6" w:tplc="040B000F">
      <w:start w:val="1"/>
      <w:numFmt w:val="decimal"/>
      <w:lvlText w:val="%7."/>
      <w:lvlJc w:val="left"/>
      <w:pPr>
        <w:ind w:left="5749" w:hanging="360"/>
      </w:pPr>
    </w:lvl>
    <w:lvl w:ilvl="7" w:tplc="040B0019">
      <w:start w:val="1"/>
      <w:numFmt w:val="lowerLetter"/>
      <w:lvlText w:val="%8."/>
      <w:lvlJc w:val="left"/>
      <w:pPr>
        <w:ind w:left="6469" w:hanging="360"/>
      </w:pPr>
    </w:lvl>
    <w:lvl w:ilvl="8" w:tplc="040B001B">
      <w:start w:val="1"/>
      <w:numFmt w:val="lowerRoman"/>
      <w:lvlText w:val="%9."/>
      <w:lvlJc w:val="right"/>
      <w:pPr>
        <w:ind w:left="7189" w:hanging="180"/>
      </w:pPr>
    </w:lvl>
  </w:abstractNum>
  <w:abstractNum w:abstractNumId="15">
    <w:nsid w:val="6ED1157F"/>
    <w:multiLevelType w:val="hybridMultilevel"/>
    <w:tmpl w:val="BE5C6D2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6">
    <w:nsid w:val="732F1A76"/>
    <w:multiLevelType w:val="hybridMultilevel"/>
    <w:tmpl w:val="C600806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76FC7004"/>
    <w:multiLevelType w:val="hybridMultilevel"/>
    <w:tmpl w:val="1712703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77CF1C5F"/>
    <w:multiLevelType w:val="hybridMultilevel"/>
    <w:tmpl w:val="20A6FCD2"/>
    <w:lvl w:ilvl="0" w:tplc="08130019">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2"/>
  </w:num>
  <w:num w:numId="5">
    <w:abstractNumId w:val="5"/>
  </w:num>
  <w:num w:numId="6">
    <w:abstractNumId w:val="14"/>
  </w:num>
  <w:num w:numId="7">
    <w:abstractNumId w:val="13"/>
  </w:num>
  <w:num w:numId="8">
    <w:abstractNumId w:val="10"/>
  </w:num>
  <w:num w:numId="9">
    <w:abstractNumId w:val="11"/>
  </w:num>
  <w:num w:numId="10">
    <w:abstractNumId w:val="17"/>
  </w:num>
  <w:num w:numId="11">
    <w:abstractNumId w:val="15"/>
  </w:num>
  <w:num w:numId="12">
    <w:abstractNumId w:val="1"/>
  </w:num>
  <w:num w:numId="13">
    <w:abstractNumId w:val="8"/>
  </w:num>
  <w:num w:numId="14">
    <w:abstractNumId w:val="9"/>
  </w:num>
  <w:num w:numId="15">
    <w:abstractNumId w:val="0"/>
  </w:num>
  <w:num w:numId="16">
    <w:abstractNumId w:val="7"/>
  </w:num>
  <w:num w:numId="17">
    <w:abstractNumId w:val="16"/>
  </w:num>
  <w:num w:numId="18">
    <w:abstractNumId w:val="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68"/>
    <w:rsid w:val="000057A6"/>
    <w:rsid w:val="00010A58"/>
    <w:rsid w:val="00020667"/>
    <w:rsid w:val="000210A2"/>
    <w:rsid w:val="00021D86"/>
    <w:rsid w:val="00030E25"/>
    <w:rsid w:val="000376A7"/>
    <w:rsid w:val="0004679A"/>
    <w:rsid w:val="00070A65"/>
    <w:rsid w:val="00073BF6"/>
    <w:rsid w:val="000807F5"/>
    <w:rsid w:val="000819FA"/>
    <w:rsid w:val="0008572A"/>
    <w:rsid w:val="00087E8C"/>
    <w:rsid w:val="0009224E"/>
    <w:rsid w:val="00092446"/>
    <w:rsid w:val="00097A03"/>
    <w:rsid w:val="000A0711"/>
    <w:rsid w:val="000A4360"/>
    <w:rsid w:val="000B7F8D"/>
    <w:rsid w:val="000C1281"/>
    <w:rsid w:val="000C23C8"/>
    <w:rsid w:val="000D15BD"/>
    <w:rsid w:val="000D344A"/>
    <w:rsid w:val="000D53FB"/>
    <w:rsid w:val="000F6A5B"/>
    <w:rsid w:val="000F7806"/>
    <w:rsid w:val="00103988"/>
    <w:rsid w:val="00106EFA"/>
    <w:rsid w:val="0011622D"/>
    <w:rsid w:val="00117525"/>
    <w:rsid w:val="00124797"/>
    <w:rsid w:val="00125191"/>
    <w:rsid w:val="00136018"/>
    <w:rsid w:val="00141E4F"/>
    <w:rsid w:val="00153755"/>
    <w:rsid w:val="00166574"/>
    <w:rsid w:val="001677C7"/>
    <w:rsid w:val="00174888"/>
    <w:rsid w:val="00183024"/>
    <w:rsid w:val="00186714"/>
    <w:rsid w:val="00193519"/>
    <w:rsid w:val="00195D68"/>
    <w:rsid w:val="001A0A77"/>
    <w:rsid w:val="001A1679"/>
    <w:rsid w:val="001A2D87"/>
    <w:rsid w:val="001B5DD7"/>
    <w:rsid w:val="001B71BD"/>
    <w:rsid w:val="001D3FE6"/>
    <w:rsid w:val="001E29E2"/>
    <w:rsid w:val="001E6321"/>
    <w:rsid w:val="001F0F7B"/>
    <w:rsid w:val="00205E6E"/>
    <w:rsid w:val="00210EED"/>
    <w:rsid w:val="0021235B"/>
    <w:rsid w:val="002211B7"/>
    <w:rsid w:val="002215AE"/>
    <w:rsid w:val="00230A0F"/>
    <w:rsid w:val="00233638"/>
    <w:rsid w:val="002443C3"/>
    <w:rsid w:val="00246A23"/>
    <w:rsid w:val="002474DA"/>
    <w:rsid w:val="0025171B"/>
    <w:rsid w:val="00252EF3"/>
    <w:rsid w:val="0026098E"/>
    <w:rsid w:val="00261A8F"/>
    <w:rsid w:val="0026493E"/>
    <w:rsid w:val="00266A6F"/>
    <w:rsid w:val="0027046B"/>
    <w:rsid w:val="00271DEC"/>
    <w:rsid w:val="00277DE6"/>
    <w:rsid w:val="00281040"/>
    <w:rsid w:val="00285636"/>
    <w:rsid w:val="00290F0A"/>
    <w:rsid w:val="0029262C"/>
    <w:rsid w:val="00296F96"/>
    <w:rsid w:val="002B3E3D"/>
    <w:rsid w:val="002B43D9"/>
    <w:rsid w:val="002C4EAF"/>
    <w:rsid w:val="002D0855"/>
    <w:rsid w:val="002D17D3"/>
    <w:rsid w:val="002D62C2"/>
    <w:rsid w:val="002E7FFC"/>
    <w:rsid w:val="002F2D50"/>
    <w:rsid w:val="002F518C"/>
    <w:rsid w:val="002F6048"/>
    <w:rsid w:val="00300843"/>
    <w:rsid w:val="0030488F"/>
    <w:rsid w:val="00313083"/>
    <w:rsid w:val="00317FB5"/>
    <w:rsid w:val="00322CBC"/>
    <w:rsid w:val="00331BEA"/>
    <w:rsid w:val="00333B40"/>
    <w:rsid w:val="003410AF"/>
    <w:rsid w:val="00341D6E"/>
    <w:rsid w:val="00346E53"/>
    <w:rsid w:val="003667FE"/>
    <w:rsid w:val="003670D9"/>
    <w:rsid w:val="00372473"/>
    <w:rsid w:val="00372F0B"/>
    <w:rsid w:val="00375861"/>
    <w:rsid w:val="00393A81"/>
    <w:rsid w:val="00394B8D"/>
    <w:rsid w:val="00395A58"/>
    <w:rsid w:val="003A2E2C"/>
    <w:rsid w:val="003A6866"/>
    <w:rsid w:val="003B50D5"/>
    <w:rsid w:val="003B7523"/>
    <w:rsid w:val="003C0A8E"/>
    <w:rsid w:val="003C4E78"/>
    <w:rsid w:val="003D0ACC"/>
    <w:rsid w:val="003D5D5A"/>
    <w:rsid w:val="003F602B"/>
    <w:rsid w:val="00403119"/>
    <w:rsid w:val="00405A78"/>
    <w:rsid w:val="00410A5A"/>
    <w:rsid w:val="00411001"/>
    <w:rsid w:val="004262EF"/>
    <w:rsid w:val="00432B34"/>
    <w:rsid w:val="00435CB6"/>
    <w:rsid w:val="00440286"/>
    <w:rsid w:val="0044338F"/>
    <w:rsid w:val="00452619"/>
    <w:rsid w:val="004531C0"/>
    <w:rsid w:val="00456408"/>
    <w:rsid w:val="00462564"/>
    <w:rsid w:val="00474981"/>
    <w:rsid w:val="00490C44"/>
    <w:rsid w:val="004A4C8A"/>
    <w:rsid w:val="004C3368"/>
    <w:rsid w:val="004D2FDC"/>
    <w:rsid w:val="004D5D4B"/>
    <w:rsid w:val="004E19F4"/>
    <w:rsid w:val="004F0B6A"/>
    <w:rsid w:val="004F0E73"/>
    <w:rsid w:val="004F0E86"/>
    <w:rsid w:val="004F1B85"/>
    <w:rsid w:val="00500BA2"/>
    <w:rsid w:val="005010B3"/>
    <w:rsid w:val="00505BAA"/>
    <w:rsid w:val="005078CD"/>
    <w:rsid w:val="00510EC7"/>
    <w:rsid w:val="00520484"/>
    <w:rsid w:val="005269B4"/>
    <w:rsid w:val="00545340"/>
    <w:rsid w:val="0054646A"/>
    <w:rsid w:val="00547BFA"/>
    <w:rsid w:val="005507F6"/>
    <w:rsid w:val="0055169B"/>
    <w:rsid w:val="005616DE"/>
    <w:rsid w:val="00561B17"/>
    <w:rsid w:val="00581B5D"/>
    <w:rsid w:val="005826CC"/>
    <w:rsid w:val="005946CF"/>
    <w:rsid w:val="0059639B"/>
    <w:rsid w:val="005B2407"/>
    <w:rsid w:val="005C08E3"/>
    <w:rsid w:val="005C6598"/>
    <w:rsid w:val="005D00B1"/>
    <w:rsid w:val="005D6900"/>
    <w:rsid w:val="005D79A1"/>
    <w:rsid w:val="005E320F"/>
    <w:rsid w:val="005F4068"/>
    <w:rsid w:val="006044FE"/>
    <w:rsid w:val="00611504"/>
    <w:rsid w:val="00611D78"/>
    <w:rsid w:val="00627DA9"/>
    <w:rsid w:val="0063016D"/>
    <w:rsid w:val="00630F64"/>
    <w:rsid w:val="006366D8"/>
    <w:rsid w:val="00643B4F"/>
    <w:rsid w:val="00654E3D"/>
    <w:rsid w:val="00674BF5"/>
    <w:rsid w:val="00681223"/>
    <w:rsid w:val="00683F79"/>
    <w:rsid w:val="006866B0"/>
    <w:rsid w:val="00692283"/>
    <w:rsid w:val="006A719A"/>
    <w:rsid w:val="006A7726"/>
    <w:rsid w:val="006B01AB"/>
    <w:rsid w:val="006B06EB"/>
    <w:rsid w:val="006D78F8"/>
    <w:rsid w:val="006D7E74"/>
    <w:rsid w:val="006F790C"/>
    <w:rsid w:val="00702C26"/>
    <w:rsid w:val="00706C2D"/>
    <w:rsid w:val="00707312"/>
    <w:rsid w:val="00711C16"/>
    <w:rsid w:val="00720657"/>
    <w:rsid w:val="007234D5"/>
    <w:rsid w:val="00730D91"/>
    <w:rsid w:val="00734490"/>
    <w:rsid w:val="00744D43"/>
    <w:rsid w:val="00745546"/>
    <w:rsid w:val="00745F58"/>
    <w:rsid w:val="00752D64"/>
    <w:rsid w:val="00753994"/>
    <w:rsid w:val="0075686B"/>
    <w:rsid w:val="007620DA"/>
    <w:rsid w:val="007802C3"/>
    <w:rsid w:val="00780CAA"/>
    <w:rsid w:val="00796A17"/>
    <w:rsid w:val="00796A85"/>
    <w:rsid w:val="007A1C59"/>
    <w:rsid w:val="007A468D"/>
    <w:rsid w:val="007A4860"/>
    <w:rsid w:val="007A6461"/>
    <w:rsid w:val="007A6649"/>
    <w:rsid w:val="007B153A"/>
    <w:rsid w:val="007B1707"/>
    <w:rsid w:val="007D6FD9"/>
    <w:rsid w:val="007D780F"/>
    <w:rsid w:val="007E7DF1"/>
    <w:rsid w:val="00802EA0"/>
    <w:rsid w:val="008136FE"/>
    <w:rsid w:val="008141D0"/>
    <w:rsid w:val="008164A4"/>
    <w:rsid w:val="00830FAE"/>
    <w:rsid w:val="00831975"/>
    <w:rsid w:val="0084075B"/>
    <w:rsid w:val="00845207"/>
    <w:rsid w:val="00845FA6"/>
    <w:rsid w:val="00846C00"/>
    <w:rsid w:val="00852B5E"/>
    <w:rsid w:val="008545AC"/>
    <w:rsid w:val="008614B3"/>
    <w:rsid w:val="00861F20"/>
    <w:rsid w:val="008623B1"/>
    <w:rsid w:val="008639AD"/>
    <w:rsid w:val="00866660"/>
    <w:rsid w:val="00873B7D"/>
    <w:rsid w:val="00877261"/>
    <w:rsid w:val="00882C70"/>
    <w:rsid w:val="00883E17"/>
    <w:rsid w:val="00885961"/>
    <w:rsid w:val="00887F19"/>
    <w:rsid w:val="008A2A7A"/>
    <w:rsid w:val="008A5A65"/>
    <w:rsid w:val="008B5059"/>
    <w:rsid w:val="008C70A9"/>
    <w:rsid w:val="008D03B4"/>
    <w:rsid w:val="008D24E1"/>
    <w:rsid w:val="008D4B65"/>
    <w:rsid w:val="008D59C2"/>
    <w:rsid w:val="008D62E3"/>
    <w:rsid w:val="008E0BEB"/>
    <w:rsid w:val="0090203B"/>
    <w:rsid w:val="009066F3"/>
    <w:rsid w:val="00910058"/>
    <w:rsid w:val="00913743"/>
    <w:rsid w:val="00914DEA"/>
    <w:rsid w:val="00916E9A"/>
    <w:rsid w:val="00921417"/>
    <w:rsid w:val="009216A3"/>
    <w:rsid w:val="009352D5"/>
    <w:rsid w:val="00936F10"/>
    <w:rsid w:val="00937D08"/>
    <w:rsid w:val="00946BCD"/>
    <w:rsid w:val="0095039C"/>
    <w:rsid w:val="009525E3"/>
    <w:rsid w:val="00954F28"/>
    <w:rsid w:val="00963F26"/>
    <w:rsid w:val="0097312D"/>
    <w:rsid w:val="0097357E"/>
    <w:rsid w:val="009860A4"/>
    <w:rsid w:val="00986970"/>
    <w:rsid w:val="00991DAE"/>
    <w:rsid w:val="00993B48"/>
    <w:rsid w:val="009A637E"/>
    <w:rsid w:val="009B1CC4"/>
    <w:rsid w:val="009D0EA8"/>
    <w:rsid w:val="009D4F16"/>
    <w:rsid w:val="009D7B4D"/>
    <w:rsid w:val="009E4CFD"/>
    <w:rsid w:val="009F499D"/>
    <w:rsid w:val="00A039A4"/>
    <w:rsid w:val="00A10CA5"/>
    <w:rsid w:val="00A12776"/>
    <w:rsid w:val="00A164EA"/>
    <w:rsid w:val="00A17975"/>
    <w:rsid w:val="00A30419"/>
    <w:rsid w:val="00A32633"/>
    <w:rsid w:val="00A35D37"/>
    <w:rsid w:val="00A37024"/>
    <w:rsid w:val="00A37D38"/>
    <w:rsid w:val="00A6494E"/>
    <w:rsid w:val="00A6500F"/>
    <w:rsid w:val="00A73364"/>
    <w:rsid w:val="00A7755C"/>
    <w:rsid w:val="00A81469"/>
    <w:rsid w:val="00A9409E"/>
    <w:rsid w:val="00A9562A"/>
    <w:rsid w:val="00A9565A"/>
    <w:rsid w:val="00AC1539"/>
    <w:rsid w:val="00AC2247"/>
    <w:rsid w:val="00AE322B"/>
    <w:rsid w:val="00AE4047"/>
    <w:rsid w:val="00B102EC"/>
    <w:rsid w:val="00B172EF"/>
    <w:rsid w:val="00B32AF8"/>
    <w:rsid w:val="00B364B0"/>
    <w:rsid w:val="00B44404"/>
    <w:rsid w:val="00B63745"/>
    <w:rsid w:val="00B76A5B"/>
    <w:rsid w:val="00B81354"/>
    <w:rsid w:val="00BA45C8"/>
    <w:rsid w:val="00BC53FF"/>
    <w:rsid w:val="00BD09BC"/>
    <w:rsid w:val="00BE0145"/>
    <w:rsid w:val="00C072A8"/>
    <w:rsid w:val="00C11011"/>
    <w:rsid w:val="00C22676"/>
    <w:rsid w:val="00C226DE"/>
    <w:rsid w:val="00C302F6"/>
    <w:rsid w:val="00C34DA1"/>
    <w:rsid w:val="00C37CF1"/>
    <w:rsid w:val="00C42A35"/>
    <w:rsid w:val="00C44124"/>
    <w:rsid w:val="00C45682"/>
    <w:rsid w:val="00C57F2C"/>
    <w:rsid w:val="00C64EA6"/>
    <w:rsid w:val="00C657D3"/>
    <w:rsid w:val="00C723DB"/>
    <w:rsid w:val="00C81D58"/>
    <w:rsid w:val="00C847DE"/>
    <w:rsid w:val="00C85057"/>
    <w:rsid w:val="00C87EA9"/>
    <w:rsid w:val="00CB4CC5"/>
    <w:rsid w:val="00CB5C89"/>
    <w:rsid w:val="00CC5B64"/>
    <w:rsid w:val="00CE6F3D"/>
    <w:rsid w:val="00D307BF"/>
    <w:rsid w:val="00D41D26"/>
    <w:rsid w:val="00D53717"/>
    <w:rsid w:val="00D53AEE"/>
    <w:rsid w:val="00D57E5A"/>
    <w:rsid w:val="00D72B2F"/>
    <w:rsid w:val="00D75B25"/>
    <w:rsid w:val="00D81C2B"/>
    <w:rsid w:val="00D920CB"/>
    <w:rsid w:val="00D932E5"/>
    <w:rsid w:val="00D95620"/>
    <w:rsid w:val="00DB1335"/>
    <w:rsid w:val="00DB47C1"/>
    <w:rsid w:val="00DC4E70"/>
    <w:rsid w:val="00DC74A8"/>
    <w:rsid w:val="00DD1577"/>
    <w:rsid w:val="00DD317D"/>
    <w:rsid w:val="00DD3893"/>
    <w:rsid w:val="00DD7F3B"/>
    <w:rsid w:val="00DE55B1"/>
    <w:rsid w:val="00DF13BB"/>
    <w:rsid w:val="00DF32A2"/>
    <w:rsid w:val="00E02DF5"/>
    <w:rsid w:val="00E105FB"/>
    <w:rsid w:val="00E13322"/>
    <w:rsid w:val="00E24273"/>
    <w:rsid w:val="00E506E4"/>
    <w:rsid w:val="00E60F6F"/>
    <w:rsid w:val="00E62EAE"/>
    <w:rsid w:val="00E71F54"/>
    <w:rsid w:val="00E743A3"/>
    <w:rsid w:val="00E84631"/>
    <w:rsid w:val="00E97211"/>
    <w:rsid w:val="00EB4B1B"/>
    <w:rsid w:val="00ED1746"/>
    <w:rsid w:val="00ED5784"/>
    <w:rsid w:val="00EE040C"/>
    <w:rsid w:val="00EE11DE"/>
    <w:rsid w:val="00EE24D3"/>
    <w:rsid w:val="00EE7D02"/>
    <w:rsid w:val="00EE7F1C"/>
    <w:rsid w:val="00EF0453"/>
    <w:rsid w:val="00EF187A"/>
    <w:rsid w:val="00EF4A6E"/>
    <w:rsid w:val="00F03C41"/>
    <w:rsid w:val="00F314CF"/>
    <w:rsid w:val="00F40C20"/>
    <w:rsid w:val="00F435C3"/>
    <w:rsid w:val="00F47D22"/>
    <w:rsid w:val="00F54599"/>
    <w:rsid w:val="00F55B76"/>
    <w:rsid w:val="00F575BC"/>
    <w:rsid w:val="00F65FFF"/>
    <w:rsid w:val="00F70F73"/>
    <w:rsid w:val="00F72B9B"/>
    <w:rsid w:val="00F76282"/>
    <w:rsid w:val="00F7716D"/>
    <w:rsid w:val="00F83235"/>
    <w:rsid w:val="00F92B95"/>
    <w:rsid w:val="00F92F86"/>
    <w:rsid w:val="00FB4C3D"/>
    <w:rsid w:val="00FB57AB"/>
    <w:rsid w:val="00FE17ED"/>
    <w:rsid w:val="00FF2A44"/>
    <w:rsid w:val="00FF5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5D68"/>
    <w:rPr>
      <w:rFonts w:ascii="Calibri" w:eastAsia="新細明體" w:hAnsi="Courier New"/>
      <w:kern w:val="0"/>
      <w:sz w:val="20"/>
      <w:lang w:val="x-none" w:eastAsia="x-none"/>
    </w:rPr>
  </w:style>
  <w:style w:type="character" w:customStyle="1" w:styleId="a4">
    <w:name w:val="純文字 字元"/>
    <w:link w:val="a3"/>
    <w:uiPriority w:val="99"/>
    <w:rsid w:val="00195D68"/>
    <w:rPr>
      <w:rFonts w:ascii="Calibri" w:eastAsia="新細明體" w:hAnsi="Courier New" w:cs="Courier New"/>
      <w:szCs w:val="24"/>
    </w:rPr>
  </w:style>
  <w:style w:type="paragraph" w:styleId="a5">
    <w:name w:val="header"/>
    <w:basedOn w:val="a"/>
    <w:link w:val="a6"/>
    <w:uiPriority w:val="99"/>
    <w:unhideWhenUsed/>
    <w:rsid w:val="009E4CFD"/>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9E4CFD"/>
    <w:rPr>
      <w:sz w:val="20"/>
      <w:szCs w:val="20"/>
    </w:rPr>
  </w:style>
  <w:style w:type="paragraph" w:styleId="a7">
    <w:name w:val="footer"/>
    <w:basedOn w:val="a"/>
    <w:link w:val="a8"/>
    <w:uiPriority w:val="99"/>
    <w:unhideWhenUsed/>
    <w:rsid w:val="009E4CFD"/>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9E4CFD"/>
    <w:rPr>
      <w:sz w:val="20"/>
      <w:szCs w:val="20"/>
    </w:rPr>
  </w:style>
  <w:style w:type="character" w:styleId="a9">
    <w:name w:val="Hyperlink"/>
    <w:uiPriority w:val="99"/>
    <w:rsid w:val="007B1707"/>
    <w:rPr>
      <w:color w:val="0000FF"/>
      <w:u w:val="single"/>
    </w:rPr>
  </w:style>
  <w:style w:type="paragraph" w:customStyle="1" w:styleId="2">
    <w:name w:val="樣式2"/>
    <w:basedOn w:val="a"/>
    <w:rsid w:val="007B1707"/>
    <w:pPr>
      <w:numPr>
        <w:numId w:val="1"/>
      </w:numPr>
    </w:pPr>
    <w:rPr>
      <w:rFonts w:ascii="新細明體" w:eastAsia="新細明體" w:hAnsi="Wingdings"/>
    </w:rPr>
  </w:style>
  <w:style w:type="paragraph" w:styleId="Web">
    <w:name w:val="Normal (Web)"/>
    <w:basedOn w:val="a"/>
    <w:rsid w:val="00333B40"/>
    <w:pPr>
      <w:widowControl/>
      <w:spacing w:before="100" w:beforeAutospacing="1" w:after="100" w:afterAutospacing="1"/>
    </w:pPr>
    <w:rPr>
      <w:rFonts w:ascii="新細明體" w:eastAsia="新細明體" w:hAnsi="新細明體" w:cs="新細明體"/>
      <w:kern w:val="0"/>
    </w:rPr>
  </w:style>
  <w:style w:type="character" w:styleId="aa">
    <w:name w:val="Strong"/>
    <w:qFormat/>
    <w:rsid w:val="00333B40"/>
    <w:rPr>
      <w:b/>
      <w:bCs/>
    </w:rPr>
  </w:style>
  <w:style w:type="paragraph" w:styleId="ab">
    <w:name w:val="List Paragraph"/>
    <w:basedOn w:val="a"/>
    <w:uiPriority w:val="34"/>
    <w:qFormat/>
    <w:rsid w:val="00333B40"/>
    <w:pPr>
      <w:ind w:leftChars="200" w:left="480"/>
    </w:pPr>
  </w:style>
  <w:style w:type="paragraph" w:styleId="ac">
    <w:name w:val="Date"/>
    <w:basedOn w:val="a"/>
    <w:next w:val="a"/>
    <w:link w:val="ad"/>
    <w:uiPriority w:val="99"/>
    <w:semiHidden/>
    <w:unhideWhenUsed/>
    <w:rsid w:val="007A1C59"/>
    <w:pPr>
      <w:jc w:val="right"/>
    </w:pPr>
  </w:style>
  <w:style w:type="character" w:customStyle="1" w:styleId="ad">
    <w:name w:val="日期 字元"/>
    <w:basedOn w:val="a0"/>
    <w:link w:val="ac"/>
    <w:uiPriority w:val="99"/>
    <w:semiHidden/>
    <w:rsid w:val="007A1C59"/>
  </w:style>
  <w:style w:type="paragraph" w:styleId="ae">
    <w:name w:val="Balloon Text"/>
    <w:basedOn w:val="a"/>
    <w:link w:val="af"/>
    <w:uiPriority w:val="99"/>
    <w:semiHidden/>
    <w:unhideWhenUsed/>
    <w:rsid w:val="000B7F8D"/>
    <w:rPr>
      <w:rFonts w:ascii="Cambria" w:eastAsia="新細明體" w:hAnsi="Cambria"/>
      <w:sz w:val="18"/>
      <w:szCs w:val="18"/>
      <w:lang w:val="x-none" w:eastAsia="x-none"/>
    </w:rPr>
  </w:style>
  <w:style w:type="character" w:customStyle="1" w:styleId="af">
    <w:name w:val="註解方塊文字 字元"/>
    <w:link w:val="ae"/>
    <w:uiPriority w:val="99"/>
    <w:semiHidden/>
    <w:rsid w:val="000B7F8D"/>
    <w:rPr>
      <w:rFonts w:ascii="Cambria" w:eastAsia="新細明體" w:hAnsi="Cambria" w:cs="Times New Roman"/>
      <w:kern w:val="2"/>
      <w:sz w:val="18"/>
      <w:szCs w:val="18"/>
    </w:rPr>
  </w:style>
  <w:style w:type="paragraph" w:styleId="af0">
    <w:name w:val="footnote text"/>
    <w:basedOn w:val="a"/>
    <w:link w:val="af1"/>
    <w:uiPriority w:val="99"/>
    <w:rsid w:val="00711C16"/>
    <w:pPr>
      <w:widowControl/>
    </w:pPr>
    <w:rPr>
      <w:rFonts w:eastAsia="新細明體"/>
      <w:kern w:val="0"/>
      <w:sz w:val="20"/>
      <w:szCs w:val="20"/>
      <w:lang w:val="x-none" w:eastAsia="ro-RO"/>
    </w:rPr>
  </w:style>
  <w:style w:type="character" w:customStyle="1" w:styleId="af1">
    <w:name w:val="註腳文字 字元"/>
    <w:basedOn w:val="a0"/>
    <w:link w:val="af0"/>
    <w:uiPriority w:val="99"/>
    <w:rsid w:val="00711C16"/>
    <w:rPr>
      <w:rFonts w:eastAsia="新細明體"/>
      <w:lang w:val="x-none" w:eastAsia="ro-RO"/>
    </w:rPr>
  </w:style>
  <w:style w:type="character" w:styleId="af2">
    <w:name w:val="footnote reference"/>
    <w:aliases w:val="Footnote symbol,Times 10 Point,Exposant 3 Point, Exposant 3 Point,Footnote number,Footnote Reference Number,Footnote reference number,Footnote Reference Superscript,EN Footnote Reference,note TESI,Voetnootverwijzing,fr,o,FR,FR1"/>
    <w:uiPriority w:val="99"/>
    <w:rsid w:val="00711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5D68"/>
    <w:rPr>
      <w:rFonts w:ascii="Calibri" w:eastAsia="新細明體" w:hAnsi="Courier New"/>
      <w:kern w:val="0"/>
      <w:sz w:val="20"/>
      <w:lang w:val="x-none" w:eastAsia="x-none"/>
    </w:rPr>
  </w:style>
  <w:style w:type="character" w:customStyle="1" w:styleId="a4">
    <w:name w:val="純文字 字元"/>
    <w:link w:val="a3"/>
    <w:uiPriority w:val="99"/>
    <w:rsid w:val="00195D68"/>
    <w:rPr>
      <w:rFonts w:ascii="Calibri" w:eastAsia="新細明體" w:hAnsi="Courier New" w:cs="Courier New"/>
      <w:szCs w:val="24"/>
    </w:rPr>
  </w:style>
  <w:style w:type="paragraph" w:styleId="a5">
    <w:name w:val="header"/>
    <w:basedOn w:val="a"/>
    <w:link w:val="a6"/>
    <w:uiPriority w:val="99"/>
    <w:unhideWhenUsed/>
    <w:rsid w:val="009E4CFD"/>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9E4CFD"/>
    <w:rPr>
      <w:sz w:val="20"/>
      <w:szCs w:val="20"/>
    </w:rPr>
  </w:style>
  <w:style w:type="paragraph" w:styleId="a7">
    <w:name w:val="footer"/>
    <w:basedOn w:val="a"/>
    <w:link w:val="a8"/>
    <w:uiPriority w:val="99"/>
    <w:unhideWhenUsed/>
    <w:rsid w:val="009E4CFD"/>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9E4CFD"/>
    <w:rPr>
      <w:sz w:val="20"/>
      <w:szCs w:val="20"/>
    </w:rPr>
  </w:style>
  <w:style w:type="character" w:styleId="a9">
    <w:name w:val="Hyperlink"/>
    <w:uiPriority w:val="99"/>
    <w:rsid w:val="007B1707"/>
    <w:rPr>
      <w:color w:val="0000FF"/>
      <w:u w:val="single"/>
    </w:rPr>
  </w:style>
  <w:style w:type="paragraph" w:customStyle="1" w:styleId="2">
    <w:name w:val="樣式2"/>
    <w:basedOn w:val="a"/>
    <w:rsid w:val="007B1707"/>
    <w:pPr>
      <w:numPr>
        <w:numId w:val="1"/>
      </w:numPr>
    </w:pPr>
    <w:rPr>
      <w:rFonts w:ascii="新細明體" w:eastAsia="新細明體" w:hAnsi="Wingdings"/>
    </w:rPr>
  </w:style>
  <w:style w:type="paragraph" w:styleId="Web">
    <w:name w:val="Normal (Web)"/>
    <w:basedOn w:val="a"/>
    <w:rsid w:val="00333B40"/>
    <w:pPr>
      <w:widowControl/>
      <w:spacing w:before="100" w:beforeAutospacing="1" w:after="100" w:afterAutospacing="1"/>
    </w:pPr>
    <w:rPr>
      <w:rFonts w:ascii="新細明體" w:eastAsia="新細明體" w:hAnsi="新細明體" w:cs="新細明體"/>
      <w:kern w:val="0"/>
    </w:rPr>
  </w:style>
  <w:style w:type="character" w:styleId="aa">
    <w:name w:val="Strong"/>
    <w:qFormat/>
    <w:rsid w:val="00333B40"/>
    <w:rPr>
      <w:b/>
      <w:bCs/>
    </w:rPr>
  </w:style>
  <w:style w:type="paragraph" w:styleId="ab">
    <w:name w:val="List Paragraph"/>
    <w:basedOn w:val="a"/>
    <w:uiPriority w:val="34"/>
    <w:qFormat/>
    <w:rsid w:val="00333B40"/>
    <w:pPr>
      <w:ind w:leftChars="200" w:left="480"/>
    </w:pPr>
  </w:style>
  <w:style w:type="paragraph" w:styleId="ac">
    <w:name w:val="Date"/>
    <w:basedOn w:val="a"/>
    <w:next w:val="a"/>
    <w:link w:val="ad"/>
    <w:uiPriority w:val="99"/>
    <w:semiHidden/>
    <w:unhideWhenUsed/>
    <w:rsid w:val="007A1C59"/>
    <w:pPr>
      <w:jc w:val="right"/>
    </w:pPr>
  </w:style>
  <w:style w:type="character" w:customStyle="1" w:styleId="ad">
    <w:name w:val="日期 字元"/>
    <w:basedOn w:val="a0"/>
    <w:link w:val="ac"/>
    <w:uiPriority w:val="99"/>
    <w:semiHidden/>
    <w:rsid w:val="007A1C59"/>
  </w:style>
  <w:style w:type="paragraph" w:styleId="ae">
    <w:name w:val="Balloon Text"/>
    <w:basedOn w:val="a"/>
    <w:link w:val="af"/>
    <w:uiPriority w:val="99"/>
    <w:semiHidden/>
    <w:unhideWhenUsed/>
    <w:rsid w:val="000B7F8D"/>
    <w:rPr>
      <w:rFonts w:ascii="Cambria" w:eastAsia="新細明體" w:hAnsi="Cambria"/>
      <w:sz w:val="18"/>
      <w:szCs w:val="18"/>
      <w:lang w:val="x-none" w:eastAsia="x-none"/>
    </w:rPr>
  </w:style>
  <w:style w:type="character" w:customStyle="1" w:styleId="af">
    <w:name w:val="註解方塊文字 字元"/>
    <w:link w:val="ae"/>
    <w:uiPriority w:val="99"/>
    <w:semiHidden/>
    <w:rsid w:val="000B7F8D"/>
    <w:rPr>
      <w:rFonts w:ascii="Cambria" w:eastAsia="新細明體" w:hAnsi="Cambria" w:cs="Times New Roman"/>
      <w:kern w:val="2"/>
      <w:sz w:val="18"/>
      <w:szCs w:val="18"/>
    </w:rPr>
  </w:style>
  <w:style w:type="paragraph" w:styleId="af0">
    <w:name w:val="footnote text"/>
    <w:basedOn w:val="a"/>
    <w:link w:val="af1"/>
    <w:uiPriority w:val="99"/>
    <w:rsid w:val="00711C16"/>
    <w:pPr>
      <w:widowControl/>
    </w:pPr>
    <w:rPr>
      <w:rFonts w:eastAsia="新細明體"/>
      <w:kern w:val="0"/>
      <w:sz w:val="20"/>
      <w:szCs w:val="20"/>
      <w:lang w:val="x-none" w:eastAsia="ro-RO"/>
    </w:rPr>
  </w:style>
  <w:style w:type="character" w:customStyle="1" w:styleId="af1">
    <w:name w:val="註腳文字 字元"/>
    <w:basedOn w:val="a0"/>
    <w:link w:val="af0"/>
    <w:uiPriority w:val="99"/>
    <w:rsid w:val="00711C16"/>
    <w:rPr>
      <w:rFonts w:eastAsia="新細明體"/>
      <w:lang w:val="x-none" w:eastAsia="ro-RO"/>
    </w:rPr>
  </w:style>
  <w:style w:type="character" w:styleId="af2">
    <w:name w:val="footnote reference"/>
    <w:aliases w:val="Footnote symbol,Times 10 Point,Exposant 3 Point, Exposant 3 Point,Footnote number,Footnote Reference Number,Footnote reference number,Footnote Reference Superscript,EN Footnote Reference,note TESI,Voetnootverwijzing,fr,o,FR,FR1"/>
    <w:uiPriority w:val="99"/>
    <w:rsid w:val="00711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a145@nsc.gov.tw" TargetMode="External"/><Relationship Id="rId5" Type="http://schemas.openxmlformats.org/officeDocument/2006/relationships/settings" Target="settings.xml"/><Relationship Id="rId10" Type="http://schemas.openxmlformats.org/officeDocument/2006/relationships/hyperlink" Target="http://www.m-era.net/joint-call-2014" TargetMode="External"/><Relationship Id="rId4" Type="http://schemas.microsoft.com/office/2007/relationships/stylesWithEffects" Target="stylesWithEffects.xml"/><Relationship Id="rId9" Type="http://schemas.openxmlformats.org/officeDocument/2006/relationships/hyperlink" Target="http://web1.nsc.gov.tw/public/Data/8211855227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oldbook.iupac.org/E02159.html" TargetMode="External"/><Relationship Id="rId2" Type="http://schemas.openxmlformats.org/officeDocument/2006/relationships/hyperlink" Target="http://ec.europa.eu/enterprise/policies/raw-materials/critical/index_en.htm" TargetMode="External"/><Relationship Id="rId1" Type="http://schemas.openxmlformats.org/officeDocument/2006/relationships/hyperlink" Target="http://ec.europa.eu/energy/technology/set_plan/set_plan_en.htm" TargetMode="External"/><Relationship Id="rId5" Type="http://schemas.openxmlformats.org/officeDocument/2006/relationships/hyperlink" Target="http://goldbook.iupac.org/B00663.html" TargetMode="External"/><Relationship Id="rId4" Type="http://schemas.openxmlformats.org/officeDocument/2006/relationships/hyperlink" Target="http://goldbook.iupac.org/O04324.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3DF9-BDB0-4C41-813D-BCFA1C46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3156</Words>
  <Characters>17991</Characters>
  <Application>Microsoft Office Word</Application>
  <DocSecurity>0</DocSecurity>
  <Lines>149</Lines>
  <Paragraphs>42</Paragraphs>
  <ScaleCrop>false</ScaleCrop>
  <Company/>
  <LinksUpToDate>false</LinksUpToDate>
  <CharactersWithSpaces>21105</CharactersWithSpaces>
  <SharedDoc>false</SharedDoc>
  <HLinks>
    <vt:vector size="54" baseType="variant">
      <vt:variant>
        <vt:i4>7274569</vt:i4>
      </vt:variant>
      <vt:variant>
        <vt:i4>9</vt:i4>
      </vt:variant>
      <vt:variant>
        <vt:i4>0</vt:i4>
      </vt:variant>
      <vt:variant>
        <vt:i4>5</vt:i4>
      </vt:variant>
      <vt:variant>
        <vt:lpwstr>mailto:soa145@nsc.gov.tw</vt:lpwstr>
      </vt:variant>
      <vt:variant>
        <vt:lpwstr/>
      </vt:variant>
      <vt:variant>
        <vt:i4>5767236</vt:i4>
      </vt:variant>
      <vt:variant>
        <vt:i4>6</vt:i4>
      </vt:variant>
      <vt:variant>
        <vt:i4>0</vt:i4>
      </vt:variant>
      <vt:variant>
        <vt:i4>5</vt:i4>
      </vt:variant>
      <vt:variant>
        <vt:lpwstr>http://www.m-era.net/</vt:lpwstr>
      </vt:variant>
      <vt:variant>
        <vt:lpwstr/>
      </vt:variant>
      <vt:variant>
        <vt:i4>2026482656</vt:i4>
      </vt:variant>
      <vt:variant>
        <vt:i4>3</vt:i4>
      </vt:variant>
      <vt:variant>
        <vt:i4>0</vt:i4>
      </vt:variant>
      <vt:variant>
        <vt:i4>5</vt:i4>
      </vt:variant>
      <vt:variant>
        <vt:lpwstr>mailto:soa145@nsc.go%20v.tw)。並同時上傳pre-proposal至M-ERA.NET</vt:lpwstr>
      </vt:variant>
      <vt:variant>
        <vt:lpwstr/>
      </vt:variant>
      <vt:variant>
        <vt:i4>4063270</vt:i4>
      </vt:variant>
      <vt:variant>
        <vt:i4>0</vt:i4>
      </vt:variant>
      <vt:variant>
        <vt:i4>0</vt:i4>
      </vt:variant>
      <vt:variant>
        <vt:i4>5</vt:i4>
      </vt:variant>
      <vt:variant>
        <vt:lpwstr>http://web1.nsc.gov.tw/public/Data/82118552271.pdf</vt:lpwstr>
      </vt:variant>
      <vt:variant>
        <vt:lpwstr/>
      </vt:variant>
      <vt:variant>
        <vt:i4>5505098</vt:i4>
      </vt:variant>
      <vt:variant>
        <vt:i4>12</vt:i4>
      </vt:variant>
      <vt:variant>
        <vt:i4>0</vt:i4>
      </vt:variant>
      <vt:variant>
        <vt:i4>5</vt:i4>
      </vt:variant>
      <vt:variant>
        <vt:lpwstr>http://goldbook.iupac.org/B00663.html</vt:lpwstr>
      </vt:variant>
      <vt:variant>
        <vt:lpwstr/>
      </vt:variant>
      <vt:variant>
        <vt:i4>5636167</vt:i4>
      </vt:variant>
      <vt:variant>
        <vt:i4>9</vt:i4>
      </vt:variant>
      <vt:variant>
        <vt:i4>0</vt:i4>
      </vt:variant>
      <vt:variant>
        <vt:i4>5</vt:i4>
      </vt:variant>
      <vt:variant>
        <vt:lpwstr>http://goldbook.iupac.org/O04324.html</vt:lpwstr>
      </vt:variant>
      <vt:variant>
        <vt:lpwstr/>
      </vt:variant>
      <vt:variant>
        <vt:i4>5832780</vt:i4>
      </vt:variant>
      <vt:variant>
        <vt:i4>6</vt:i4>
      </vt:variant>
      <vt:variant>
        <vt:i4>0</vt:i4>
      </vt:variant>
      <vt:variant>
        <vt:i4>5</vt:i4>
      </vt:variant>
      <vt:variant>
        <vt:lpwstr>http://goldbook.iupac.org/E02159.html</vt:lpwstr>
      </vt:variant>
      <vt:variant>
        <vt:lpwstr/>
      </vt:variant>
      <vt:variant>
        <vt:i4>3276804</vt:i4>
      </vt:variant>
      <vt:variant>
        <vt:i4>3</vt:i4>
      </vt:variant>
      <vt:variant>
        <vt:i4>0</vt:i4>
      </vt:variant>
      <vt:variant>
        <vt:i4>5</vt:i4>
      </vt:variant>
      <vt:variant>
        <vt:lpwstr>http://ec.europa.eu/enterprise/policies/raw-materials/critical/index_en.htm</vt:lpwstr>
      </vt:variant>
      <vt:variant>
        <vt:lpwstr/>
      </vt:variant>
      <vt:variant>
        <vt:i4>7536724</vt:i4>
      </vt:variant>
      <vt:variant>
        <vt:i4>0</vt:i4>
      </vt:variant>
      <vt:variant>
        <vt:i4>0</vt:i4>
      </vt:variant>
      <vt:variant>
        <vt:i4>5</vt:i4>
      </vt:variant>
      <vt:variant>
        <vt:lpwstr>http://ec.europa.eu/energy/technology/set_plan/set_plan_en.htm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104年度奈米國家型科技計畫</dc:title>
  <dc:creator>Your User Name</dc:creator>
  <cp:lastModifiedBy>王心頎</cp:lastModifiedBy>
  <cp:revision>31</cp:revision>
  <cp:lastPrinted>2014-06-12T07:16:00Z</cp:lastPrinted>
  <dcterms:created xsi:type="dcterms:W3CDTF">2014-06-11T03:27:00Z</dcterms:created>
  <dcterms:modified xsi:type="dcterms:W3CDTF">2014-06-12T07:48:00Z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0008000202000000000001024120</vt:lpwstr>
  </property>
</Properties>
</file>