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EE" w:rsidRDefault="00C55511" w:rsidP="00CD7AF4">
      <w:pPr>
        <w:jc w:val="center"/>
        <w:rPr>
          <w:b/>
          <w:sz w:val="48"/>
          <w:szCs w:val="28"/>
        </w:rPr>
      </w:pPr>
      <w:r>
        <w:rPr>
          <w:b/>
          <w:sz w:val="48"/>
          <w:szCs w:val="28"/>
        </w:rPr>
        <w:t>One-</w:t>
      </w:r>
      <w:r w:rsidR="00CD7AF4" w:rsidRPr="00CD7AF4">
        <w:rPr>
          <w:b/>
          <w:sz w:val="48"/>
          <w:szCs w:val="28"/>
        </w:rPr>
        <w:t xml:space="preserve">page </w:t>
      </w:r>
      <w:r w:rsidR="00CD7AF4">
        <w:rPr>
          <w:b/>
          <w:sz w:val="48"/>
          <w:szCs w:val="28"/>
        </w:rPr>
        <w:t xml:space="preserve">expertise </w:t>
      </w:r>
      <w:r w:rsidR="00CD7AF4" w:rsidRPr="00CD7AF4">
        <w:rPr>
          <w:b/>
          <w:sz w:val="48"/>
          <w:szCs w:val="28"/>
        </w:rPr>
        <w:t>description</w:t>
      </w:r>
    </w:p>
    <w:p w:rsidR="003A780A" w:rsidRPr="00C55511" w:rsidRDefault="003A780A" w:rsidP="00C55511">
      <w:pPr>
        <w:spacing w:after="0"/>
        <w:rPr>
          <w:szCs w:val="28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CD7AF4" w:rsidRPr="00CD7AF4" w:rsidTr="00CD7AF4">
        <w:tc>
          <w:tcPr>
            <w:tcW w:w="3096" w:type="dxa"/>
          </w:tcPr>
          <w:p w:rsidR="00CD7AF4" w:rsidRPr="00CD7D97" w:rsidRDefault="007C7F2A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O</w:t>
            </w:r>
            <w:r w:rsidR="00CD7AF4" w:rsidRPr="00CD7D97">
              <w:rPr>
                <w:sz w:val="24"/>
                <w:szCs w:val="28"/>
              </w:rPr>
              <w:t>rganisation</w:t>
            </w:r>
          </w:p>
        </w:tc>
        <w:tc>
          <w:tcPr>
            <w:tcW w:w="6226" w:type="dxa"/>
          </w:tcPr>
          <w:p w:rsidR="00CD7AF4" w:rsidRPr="00244B13" w:rsidRDefault="00244B13" w:rsidP="00EF5744">
            <w:pPr>
              <w:rPr>
                <w:sz w:val="24"/>
                <w:szCs w:val="28"/>
                <w:lang w:val="en-US"/>
              </w:rPr>
            </w:pPr>
            <w:r w:rsidRPr="00244B13">
              <w:rPr>
                <w:sz w:val="24"/>
                <w:szCs w:val="28"/>
                <w:lang w:val="en-US"/>
              </w:rPr>
              <w:t xml:space="preserve">Eindhoven University of Technology, Department of the Built Environment, Urban </w:t>
            </w:r>
            <w:r w:rsidR="00EF5744">
              <w:rPr>
                <w:sz w:val="24"/>
                <w:szCs w:val="28"/>
                <w:lang w:val="en-US"/>
              </w:rPr>
              <w:t xml:space="preserve">Systems </w:t>
            </w:r>
            <w:r w:rsidRPr="00244B13">
              <w:rPr>
                <w:sz w:val="24"/>
                <w:szCs w:val="28"/>
                <w:lang w:val="en-US"/>
              </w:rPr>
              <w:t xml:space="preserve">and </w:t>
            </w:r>
            <w:r w:rsidR="00EF5744">
              <w:rPr>
                <w:sz w:val="24"/>
                <w:szCs w:val="28"/>
                <w:lang w:val="en-US"/>
              </w:rPr>
              <w:t>Real Estate</w:t>
            </w:r>
            <w:r w:rsidRPr="00244B13">
              <w:rPr>
                <w:sz w:val="24"/>
                <w:szCs w:val="28"/>
                <w:lang w:val="en-US"/>
              </w:rPr>
              <w:t xml:space="preserve"> (US</w:t>
            </w:r>
            <w:r w:rsidR="00EF5744">
              <w:rPr>
                <w:sz w:val="24"/>
                <w:szCs w:val="28"/>
                <w:lang w:val="en-US"/>
              </w:rPr>
              <w:t>R</w:t>
            </w:r>
            <w:r w:rsidRPr="00244B13">
              <w:rPr>
                <w:sz w:val="24"/>
                <w:szCs w:val="28"/>
                <w:lang w:val="en-US"/>
              </w:rPr>
              <w:t>) Unit</w:t>
            </w:r>
            <w:bookmarkStart w:id="0" w:name="_GoBack"/>
            <w:bookmarkEnd w:id="0"/>
          </w:p>
        </w:tc>
      </w:tr>
      <w:tr w:rsidR="00CD7AF4" w:rsidRPr="00CD7AF4" w:rsidTr="00CD7AF4">
        <w:tc>
          <w:tcPr>
            <w:tcW w:w="3096" w:type="dxa"/>
          </w:tcPr>
          <w:p w:rsidR="00CD7AF4" w:rsidRPr="00CD7D97" w:rsidRDefault="00741FE5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Address</w:t>
            </w:r>
          </w:p>
        </w:tc>
        <w:tc>
          <w:tcPr>
            <w:tcW w:w="6226" w:type="dxa"/>
          </w:tcPr>
          <w:p w:rsidR="00CD7AF4" w:rsidRPr="00CD7D97" w:rsidRDefault="00244B13" w:rsidP="00244B13">
            <w:pPr>
              <w:tabs>
                <w:tab w:val="left" w:pos="3435"/>
              </w:tabs>
              <w:contextualSpacing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rFonts w:eastAsia="Times New Roman" w:cs="Verdana"/>
                <w:lang w:eastAsia="es-ES"/>
              </w:rPr>
              <w:t>P.O.Box</w:t>
            </w:r>
            <w:proofErr w:type="spellEnd"/>
            <w:r>
              <w:rPr>
                <w:rFonts w:eastAsia="Times New Roman" w:cs="Verdana"/>
                <w:lang w:eastAsia="es-ES"/>
              </w:rPr>
              <w:t xml:space="preserve"> 513, 5600MB Eindhoven, The Netherlands</w:t>
            </w:r>
          </w:p>
        </w:tc>
      </w:tr>
      <w:tr w:rsidR="00727001" w:rsidRPr="00CD7AF4" w:rsidTr="00CD7AF4">
        <w:tc>
          <w:tcPr>
            <w:tcW w:w="3096" w:type="dxa"/>
          </w:tcPr>
          <w:p w:rsidR="00727001" w:rsidRPr="00CD7D97" w:rsidRDefault="00727001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Type of partner</w:t>
            </w:r>
          </w:p>
        </w:tc>
        <w:tc>
          <w:tcPr>
            <w:tcW w:w="6226" w:type="dxa"/>
          </w:tcPr>
          <w:p w:rsidR="00727001" w:rsidRPr="00CD7D97" w:rsidRDefault="00244B13" w:rsidP="00244B13">
            <w:pPr>
              <w:tabs>
                <w:tab w:val="left" w:pos="567"/>
              </w:tabs>
              <w:spacing w:after="160"/>
              <w:jc w:val="both"/>
              <w:rPr>
                <w:sz w:val="24"/>
                <w:szCs w:val="28"/>
              </w:rPr>
            </w:pPr>
            <w:r w:rsidRPr="00244B13">
              <w:rPr>
                <w:lang w:val="en-US"/>
              </w:rPr>
              <w:t>Research Center</w:t>
            </w:r>
          </w:p>
        </w:tc>
      </w:tr>
      <w:tr w:rsidR="00144557" w:rsidRPr="00CD7AF4" w:rsidTr="00CD7AF4">
        <w:tc>
          <w:tcPr>
            <w:tcW w:w="3096" w:type="dxa"/>
          </w:tcPr>
          <w:p w:rsidR="00144557" w:rsidRPr="00CD7D97" w:rsidRDefault="0014455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Website</w:t>
            </w:r>
          </w:p>
        </w:tc>
        <w:tc>
          <w:tcPr>
            <w:tcW w:w="6226" w:type="dxa"/>
          </w:tcPr>
          <w:p w:rsidR="00144557" w:rsidRPr="00FA307E" w:rsidRDefault="00244B13" w:rsidP="005F5972">
            <w:pPr>
              <w:rPr>
                <w:sz w:val="24"/>
                <w:szCs w:val="28"/>
              </w:rPr>
            </w:pPr>
            <w:r w:rsidRPr="00244B13">
              <w:rPr>
                <w:sz w:val="24"/>
                <w:szCs w:val="28"/>
              </w:rPr>
              <w:t>http://www.tue.nl/en/university/departments/built-environment/research/research-programs/design-and-decision-support-systems/</w:t>
            </w:r>
          </w:p>
        </w:tc>
      </w:tr>
    </w:tbl>
    <w:p w:rsidR="00727001" w:rsidRPr="00CD7D97" w:rsidRDefault="00CD7D97" w:rsidP="00CD7D97">
      <w:pPr>
        <w:tabs>
          <w:tab w:val="left" w:pos="7780"/>
        </w:tabs>
        <w:spacing w:after="0"/>
        <w:rPr>
          <w:sz w:val="14"/>
          <w:szCs w:val="28"/>
        </w:rPr>
      </w:pPr>
      <w:r w:rsidRPr="00CD7D97">
        <w:rPr>
          <w:sz w:val="14"/>
          <w:szCs w:val="28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Contact person</w:t>
            </w:r>
          </w:p>
        </w:tc>
        <w:tc>
          <w:tcPr>
            <w:tcW w:w="6226" w:type="dxa"/>
          </w:tcPr>
          <w:p w:rsidR="00727001" w:rsidRPr="00CD7D97" w:rsidRDefault="00244B13" w:rsidP="00FA307E">
            <w:pPr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dr</w:t>
            </w:r>
            <w:proofErr w:type="gramEnd"/>
            <w:r>
              <w:rPr>
                <w:sz w:val="24"/>
                <w:szCs w:val="28"/>
              </w:rPr>
              <w:t xml:space="preserve">. </w:t>
            </w:r>
            <w:proofErr w:type="spellStart"/>
            <w:r>
              <w:rPr>
                <w:sz w:val="24"/>
                <w:szCs w:val="28"/>
              </w:rPr>
              <w:t>ir.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Brano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Glumac</w:t>
            </w:r>
            <w:proofErr w:type="spellEnd"/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Email</w:t>
            </w:r>
          </w:p>
        </w:tc>
        <w:tc>
          <w:tcPr>
            <w:tcW w:w="6226" w:type="dxa"/>
          </w:tcPr>
          <w:p w:rsidR="00727001" w:rsidRPr="00CD7D97" w:rsidRDefault="00244B13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b.glumac@tue.nl</w:t>
            </w:r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727001" w:rsidP="00FA307E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</w:rPr>
              <w:t>Telephone</w:t>
            </w:r>
          </w:p>
        </w:tc>
        <w:tc>
          <w:tcPr>
            <w:tcW w:w="6226" w:type="dxa"/>
          </w:tcPr>
          <w:p w:rsidR="00727001" w:rsidRPr="00CD7D97" w:rsidRDefault="00244B13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+31 40 247 3349</w:t>
            </w:r>
          </w:p>
        </w:tc>
      </w:tr>
      <w:tr w:rsidR="00727001" w:rsidRPr="00CD7AF4" w:rsidTr="00FA307E">
        <w:tc>
          <w:tcPr>
            <w:tcW w:w="3096" w:type="dxa"/>
          </w:tcPr>
          <w:p w:rsidR="00727001" w:rsidRPr="00CD7D97" w:rsidRDefault="008F6228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Function</w:t>
            </w:r>
          </w:p>
        </w:tc>
        <w:tc>
          <w:tcPr>
            <w:tcW w:w="6226" w:type="dxa"/>
          </w:tcPr>
          <w:p w:rsidR="00727001" w:rsidRPr="00CD7D97" w:rsidRDefault="00244B13" w:rsidP="00075483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University Lecturer</w:t>
            </w:r>
          </w:p>
        </w:tc>
      </w:tr>
    </w:tbl>
    <w:p w:rsidR="00727001" w:rsidRDefault="00727001" w:rsidP="00CD7D97">
      <w:pPr>
        <w:tabs>
          <w:tab w:val="left" w:pos="7780"/>
        </w:tabs>
        <w:spacing w:after="0"/>
        <w:rPr>
          <w:sz w:val="14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96"/>
        <w:gridCol w:w="6226"/>
      </w:tblGrid>
      <w:tr w:rsidR="005F5972" w:rsidRPr="00CD7AF4" w:rsidTr="00FA307E">
        <w:tc>
          <w:tcPr>
            <w:tcW w:w="3096" w:type="dxa"/>
          </w:tcPr>
          <w:p w:rsidR="005F5972" w:rsidRPr="00CD7D97" w:rsidRDefault="005F5972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of publication</w:t>
            </w:r>
          </w:p>
        </w:tc>
        <w:tc>
          <w:tcPr>
            <w:tcW w:w="6226" w:type="dxa"/>
          </w:tcPr>
          <w:p w:rsidR="005F5972" w:rsidRPr="00CD7D97" w:rsidRDefault="00244B13" w:rsidP="00FA307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02.02.2015</w:t>
            </w:r>
          </w:p>
        </w:tc>
      </w:tr>
    </w:tbl>
    <w:p w:rsidR="005F5972" w:rsidRPr="00CD7D97" w:rsidRDefault="005F5972" w:rsidP="00CD7D97">
      <w:pPr>
        <w:tabs>
          <w:tab w:val="left" w:pos="7780"/>
        </w:tabs>
        <w:spacing w:after="0"/>
        <w:rPr>
          <w:sz w:val="14"/>
          <w:szCs w:val="28"/>
        </w:rPr>
      </w:pPr>
    </w:p>
    <w:p w:rsidR="007C7F2A" w:rsidRPr="00120448" w:rsidRDefault="007C7F2A" w:rsidP="001866B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8"/>
          <w:u w:val="dotDotDash"/>
        </w:rPr>
      </w:pPr>
      <w:r w:rsidRPr="00CD7D97">
        <w:rPr>
          <w:sz w:val="24"/>
          <w:szCs w:val="28"/>
          <w:u w:val="single"/>
        </w:rPr>
        <w:t>Topic(s) of interest:</w:t>
      </w:r>
      <w:r w:rsidR="00120448" w:rsidRPr="00120448">
        <w:rPr>
          <w:sz w:val="24"/>
          <w:szCs w:val="28"/>
        </w:rPr>
        <w:t xml:space="preserve"> </w:t>
      </w:r>
      <w:r w:rsidR="00120448">
        <w:rPr>
          <w:sz w:val="24"/>
          <w:szCs w:val="28"/>
        </w:rPr>
        <w:t xml:space="preserve">Energy District Efficiency; </w:t>
      </w:r>
      <w:r w:rsidR="00120448" w:rsidRPr="00120448">
        <w:rPr>
          <w:sz w:val="24"/>
          <w:szCs w:val="28"/>
        </w:rPr>
        <w:t xml:space="preserve">Urban </w:t>
      </w:r>
      <w:r w:rsidR="00120448">
        <w:rPr>
          <w:sz w:val="24"/>
          <w:szCs w:val="28"/>
        </w:rPr>
        <w:t>D</w:t>
      </w:r>
      <w:r w:rsidR="00120448" w:rsidRPr="00120448">
        <w:rPr>
          <w:sz w:val="24"/>
          <w:szCs w:val="28"/>
        </w:rPr>
        <w:t>evelopment and Planning</w:t>
      </w:r>
      <w:r w:rsidR="00120448">
        <w:rPr>
          <w:sz w:val="24"/>
          <w:szCs w:val="28"/>
        </w:rPr>
        <w:t>; Decision Support Systems</w:t>
      </w:r>
      <w:r w:rsidR="001866B8">
        <w:rPr>
          <w:sz w:val="24"/>
          <w:szCs w:val="28"/>
        </w:rPr>
        <w:t>.</w:t>
      </w:r>
    </w:p>
    <w:p w:rsidR="007C7F2A" w:rsidRPr="00075483" w:rsidRDefault="007C7F2A" w:rsidP="00CD7D97">
      <w:pPr>
        <w:tabs>
          <w:tab w:val="left" w:pos="7780"/>
        </w:tabs>
        <w:spacing w:after="0"/>
        <w:rPr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7AF4" w:rsidRPr="00CD7AF4" w:rsidTr="00CD7AF4">
        <w:tc>
          <w:tcPr>
            <w:tcW w:w="9288" w:type="dxa"/>
          </w:tcPr>
          <w:p w:rsidR="00CD7AF4" w:rsidRPr="00CD7D97" w:rsidRDefault="00CD7AF4" w:rsidP="00197696">
            <w:pPr>
              <w:rPr>
                <w:sz w:val="24"/>
                <w:szCs w:val="28"/>
              </w:rPr>
            </w:pPr>
            <w:r w:rsidRPr="00CD7D97">
              <w:rPr>
                <w:sz w:val="24"/>
                <w:szCs w:val="28"/>
                <w:u w:val="single"/>
              </w:rPr>
              <w:t>Headline:</w:t>
            </w:r>
            <w:r w:rsidR="00120448" w:rsidRPr="00197696">
              <w:rPr>
                <w:sz w:val="24"/>
                <w:szCs w:val="28"/>
              </w:rPr>
              <w:t xml:space="preserve"> </w:t>
            </w:r>
            <w:r w:rsidR="00197696" w:rsidRPr="00197696">
              <w:rPr>
                <w:sz w:val="24"/>
                <w:szCs w:val="28"/>
              </w:rPr>
              <w:t xml:space="preserve">We would like to </w:t>
            </w:r>
            <w:r w:rsidR="00197696">
              <w:rPr>
                <w:sz w:val="24"/>
                <w:szCs w:val="28"/>
              </w:rPr>
              <w:t>contribute to consortium by developing a decision support system that will provide an optimal urban development solution (technical, legal and financial) addressing energy district retrofit.</w:t>
            </w:r>
          </w:p>
        </w:tc>
      </w:tr>
    </w:tbl>
    <w:p w:rsidR="00CD7AF4" w:rsidRPr="00CD7D97" w:rsidRDefault="00CD7AF4" w:rsidP="00CD7D97">
      <w:pPr>
        <w:tabs>
          <w:tab w:val="left" w:pos="7780"/>
        </w:tabs>
        <w:spacing w:after="0"/>
        <w:rPr>
          <w:sz w:val="1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CD7AF4" w:rsidRPr="00CD7AF4" w:rsidTr="00CD7AF4">
        <w:tc>
          <w:tcPr>
            <w:tcW w:w="9288" w:type="dxa"/>
          </w:tcPr>
          <w:p w:rsidR="000C6F3F" w:rsidRDefault="007C7F2A" w:rsidP="008F6228">
            <w:pPr>
              <w:rPr>
                <w:sz w:val="24"/>
                <w:szCs w:val="28"/>
                <w:u w:val="single"/>
              </w:rPr>
            </w:pPr>
            <w:r w:rsidRPr="00CD7D97">
              <w:rPr>
                <w:sz w:val="24"/>
                <w:szCs w:val="28"/>
                <w:u w:val="single"/>
              </w:rPr>
              <w:t>Potential contribution</w:t>
            </w:r>
            <w:r w:rsidR="00CD7AF4" w:rsidRPr="00CD7D97">
              <w:rPr>
                <w:sz w:val="24"/>
                <w:szCs w:val="28"/>
                <w:u w:val="single"/>
              </w:rPr>
              <w:t>:</w:t>
            </w:r>
          </w:p>
          <w:p w:rsidR="00BB733E" w:rsidRDefault="00BB733E" w:rsidP="00BB733E">
            <w:pPr>
              <w:rPr>
                <w:lang w:val="en-US"/>
              </w:rPr>
            </w:pPr>
            <w:r>
              <w:rPr>
                <w:lang w:val="en-US"/>
              </w:rPr>
              <w:t xml:space="preserve">The main objective is to contribute to better </w:t>
            </w:r>
            <w:r w:rsidRPr="00B01D7D">
              <w:rPr>
                <w:lang w:val="en-US"/>
              </w:rPr>
              <w:t xml:space="preserve">economical operation of the buildings </w:t>
            </w:r>
            <w:r>
              <w:rPr>
                <w:lang w:val="en-US"/>
              </w:rPr>
              <w:t xml:space="preserve">retrofit by understanding and engaging </w:t>
            </w:r>
            <w:r w:rsidR="00197696">
              <w:rPr>
                <w:lang w:val="en-US"/>
              </w:rPr>
              <w:t xml:space="preserve">technical possibilities, </w:t>
            </w:r>
            <w:r>
              <w:rPr>
                <w:lang w:val="en-US"/>
              </w:rPr>
              <w:t>different stakeholder interests</w:t>
            </w:r>
            <w:r w:rsidR="00197696">
              <w:rPr>
                <w:lang w:val="en-US"/>
              </w:rPr>
              <w:t xml:space="preserve"> (e.g. financial</w:t>
            </w:r>
            <w:r w:rsidR="00594904">
              <w:rPr>
                <w:lang w:val="en-US"/>
              </w:rPr>
              <w:t xml:space="preserve">) and </w:t>
            </w:r>
            <w:r w:rsidR="00594904">
              <w:rPr>
                <w:lang w:val="en-US"/>
              </w:rPr>
              <w:t>legal requirements</w:t>
            </w:r>
            <w:r>
              <w:rPr>
                <w:lang w:val="en-US"/>
              </w:rPr>
              <w:t xml:space="preserve">. </w:t>
            </w:r>
            <w:r w:rsidR="00F37638">
              <w:rPr>
                <w:lang w:val="en-US"/>
              </w:rPr>
              <w:t>In addition, s</w:t>
            </w:r>
            <w:r>
              <w:rPr>
                <w:lang w:val="en-US"/>
              </w:rPr>
              <w:t>olution should be transferrable f</w:t>
            </w:r>
            <w:r w:rsidR="00EA0FA1">
              <w:rPr>
                <w:lang w:val="en-US"/>
              </w:rPr>
              <w:t xml:space="preserve">or </w:t>
            </w:r>
            <w:r>
              <w:rPr>
                <w:lang w:val="en-US"/>
              </w:rPr>
              <w:t>urban district</w:t>
            </w:r>
            <w:r w:rsidR="00EA0FA1">
              <w:rPr>
                <w:lang w:val="en-US"/>
              </w:rPr>
              <w:t xml:space="preserve"> in different socio-institutional context</w:t>
            </w:r>
            <w:r>
              <w:rPr>
                <w:lang w:val="en-US"/>
              </w:rPr>
              <w:t>.</w:t>
            </w:r>
          </w:p>
          <w:p w:rsidR="00BB733E" w:rsidRDefault="00BB733E" w:rsidP="00BB733E">
            <w:pPr>
              <w:rPr>
                <w:lang w:val="en-US"/>
              </w:rPr>
            </w:pPr>
          </w:p>
          <w:p w:rsidR="00BB733E" w:rsidRDefault="00BB733E" w:rsidP="00BB733E">
            <w:pPr>
              <w:rPr>
                <w:lang w:val="en-US"/>
              </w:rPr>
            </w:pPr>
            <w:r>
              <w:rPr>
                <w:lang w:val="en-US"/>
              </w:rPr>
              <w:t xml:space="preserve">Therefore key activates would be to provide suitable methodology: to capture the </w:t>
            </w:r>
            <w:r w:rsidR="00BB6745">
              <w:rPr>
                <w:lang w:val="en-US"/>
              </w:rPr>
              <w:t xml:space="preserve">technical possibilities </w:t>
            </w:r>
            <w:r w:rsidR="00594904">
              <w:rPr>
                <w:lang w:val="en-US"/>
              </w:rPr>
              <w:t xml:space="preserve">for </w:t>
            </w:r>
            <w:r w:rsidR="00BB6745">
              <w:rPr>
                <w:lang w:val="en-US"/>
              </w:rPr>
              <w:t xml:space="preserve">sustainable </w:t>
            </w:r>
            <w:r w:rsidR="00594904">
              <w:rPr>
                <w:lang w:val="en-US"/>
              </w:rPr>
              <w:t xml:space="preserve">energy production and usage in a generic urban district; to indicate </w:t>
            </w:r>
            <w:r>
              <w:rPr>
                <w:lang w:val="en-US"/>
              </w:rPr>
              <w:t xml:space="preserve">various interest and related payoffs of participating stakeholders (e.g. comfort, property value increase, energy efficiency level); </w:t>
            </w:r>
            <w:r w:rsidR="00594904">
              <w:rPr>
                <w:lang w:val="en-US"/>
              </w:rPr>
              <w:t>and to integrate solution according to energy and municipal legal requirements.</w:t>
            </w:r>
          </w:p>
          <w:p w:rsidR="00BB733E" w:rsidRDefault="00BB733E" w:rsidP="00BB733E">
            <w:pPr>
              <w:rPr>
                <w:lang w:val="en-US"/>
              </w:rPr>
            </w:pPr>
          </w:p>
          <w:p w:rsidR="00BB733E" w:rsidRDefault="00BB733E" w:rsidP="00BB733E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result would be an operational generic decision support tool by which </w:t>
            </w:r>
            <w:r w:rsidR="00BB6745">
              <w:rPr>
                <w:lang w:val="en-US"/>
              </w:rPr>
              <w:t xml:space="preserve">beneficiary </w:t>
            </w:r>
            <w:r>
              <w:rPr>
                <w:lang w:val="en-US"/>
              </w:rPr>
              <w:t>stakeholder would reach an optimal decision</w:t>
            </w:r>
            <w:r w:rsidR="00BB6745">
              <w:rPr>
                <w:lang w:val="en-US"/>
              </w:rPr>
              <w:t xml:space="preserve"> regarding </w:t>
            </w:r>
            <w:r w:rsidR="00594904">
              <w:rPr>
                <w:lang w:val="en-US"/>
              </w:rPr>
              <w:t xml:space="preserve">the choice of </w:t>
            </w:r>
            <w:r w:rsidR="00BB6745">
              <w:rPr>
                <w:lang w:val="en-US"/>
              </w:rPr>
              <w:t>energy upgrade of an urban district</w:t>
            </w:r>
            <w:r>
              <w:rPr>
                <w:lang w:val="en-US"/>
              </w:rPr>
              <w:t>.</w:t>
            </w:r>
          </w:p>
          <w:p w:rsidR="00BB733E" w:rsidRDefault="00BB733E" w:rsidP="00BB733E">
            <w:pPr>
              <w:rPr>
                <w:lang w:val="en-US"/>
              </w:rPr>
            </w:pPr>
          </w:p>
          <w:p w:rsidR="008F6228" w:rsidRPr="00BB733E" w:rsidRDefault="00BB733E" w:rsidP="00594904">
            <w:pPr>
              <w:rPr>
                <w:sz w:val="24"/>
                <w:szCs w:val="28"/>
                <w:u w:val="single"/>
                <w:lang w:val="en-US"/>
              </w:rPr>
            </w:pPr>
            <w:r>
              <w:rPr>
                <w:lang w:val="en-US"/>
              </w:rPr>
              <w:t xml:space="preserve">The main role would be to support project leader in developing </w:t>
            </w:r>
            <w:r w:rsidR="00BB6745">
              <w:rPr>
                <w:lang w:val="en-US"/>
              </w:rPr>
              <w:t xml:space="preserve">a </w:t>
            </w:r>
            <w:r w:rsidR="001866B8">
              <w:rPr>
                <w:lang w:val="en-US"/>
              </w:rPr>
              <w:t xml:space="preserve">decision support </w:t>
            </w:r>
            <w:r w:rsidR="00BB6745">
              <w:rPr>
                <w:lang w:val="en-US"/>
              </w:rPr>
              <w:t>system.</w:t>
            </w:r>
          </w:p>
        </w:tc>
      </w:tr>
    </w:tbl>
    <w:p w:rsidR="00CD7AF4" w:rsidRPr="00197696" w:rsidRDefault="00CD7AF4" w:rsidP="00197696">
      <w:pPr>
        <w:tabs>
          <w:tab w:val="left" w:pos="7780"/>
        </w:tabs>
        <w:spacing w:after="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4B13" w:rsidRPr="00CD7AF4" w:rsidTr="002357AC">
        <w:tc>
          <w:tcPr>
            <w:tcW w:w="9288" w:type="dxa"/>
          </w:tcPr>
          <w:p w:rsidR="00244B13" w:rsidRDefault="00244B13" w:rsidP="002357AC">
            <w:pPr>
              <w:rPr>
                <w:sz w:val="24"/>
                <w:szCs w:val="28"/>
                <w:u w:val="single"/>
              </w:rPr>
            </w:pPr>
            <w:r>
              <w:rPr>
                <w:sz w:val="24"/>
                <w:szCs w:val="28"/>
                <w:u w:val="single"/>
              </w:rPr>
              <w:t>About Research Group</w:t>
            </w:r>
            <w:r w:rsidRPr="00CD7D97">
              <w:rPr>
                <w:sz w:val="24"/>
                <w:szCs w:val="28"/>
                <w:u w:val="single"/>
              </w:rPr>
              <w:t>:</w:t>
            </w:r>
          </w:p>
          <w:p w:rsidR="00244B13" w:rsidRPr="008F6228" w:rsidRDefault="00244B13" w:rsidP="00594904">
            <w:pPr>
              <w:rPr>
                <w:sz w:val="24"/>
                <w:szCs w:val="28"/>
                <w:u w:val="single"/>
              </w:rPr>
            </w:pPr>
            <w:r>
              <w:rPr>
                <w:lang w:val="en-US"/>
              </w:rPr>
              <w:t>T</w:t>
            </w:r>
            <w:r w:rsidRPr="00082AB1">
              <w:rPr>
                <w:lang w:val="en-US"/>
              </w:rPr>
              <w:t xml:space="preserve">he </w:t>
            </w:r>
            <w:r>
              <w:rPr>
                <w:lang w:val="en-US"/>
              </w:rPr>
              <w:t xml:space="preserve">USS </w:t>
            </w:r>
            <w:r w:rsidRPr="00082AB1">
              <w:rPr>
                <w:lang w:val="en-US"/>
              </w:rPr>
              <w:t xml:space="preserve">unit deals with teaching and research in the field of planning, development and management of cities and large-scale urban </w:t>
            </w:r>
            <w:r>
              <w:rPr>
                <w:lang w:val="en-US"/>
              </w:rPr>
              <w:t xml:space="preserve">projects.  </w:t>
            </w:r>
            <w:r w:rsidRPr="0097565A">
              <w:rPr>
                <w:lang w:val="en-US"/>
              </w:rPr>
              <w:t>The Times World</w:t>
            </w:r>
            <w:r>
              <w:rPr>
                <w:lang w:val="en-US"/>
              </w:rPr>
              <w:t xml:space="preserve"> </w:t>
            </w:r>
            <w:r w:rsidRPr="0097565A">
              <w:rPr>
                <w:lang w:val="en-US"/>
              </w:rPr>
              <w:t>University Rankings of 201</w:t>
            </w:r>
            <w:r>
              <w:rPr>
                <w:lang w:val="en-US"/>
              </w:rPr>
              <w:t>3-14</w:t>
            </w:r>
            <w:r w:rsidRPr="0097565A">
              <w:rPr>
                <w:lang w:val="en-US"/>
              </w:rPr>
              <w:t xml:space="preserve"> ranked </w:t>
            </w:r>
            <w:r>
              <w:rPr>
                <w:lang w:val="en-US"/>
              </w:rPr>
              <w:t>TU/e</w:t>
            </w:r>
            <w:r w:rsidRPr="0097565A">
              <w:rPr>
                <w:lang w:val="en-US"/>
              </w:rPr>
              <w:t xml:space="preserve"> at 1</w:t>
            </w:r>
            <w:r>
              <w:rPr>
                <w:lang w:val="en-US"/>
              </w:rPr>
              <w:t>0</w:t>
            </w:r>
            <w:r w:rsidRPr="0097565A">
              <w:rPr>
                <w:lang w:val="en-US"/>
              </w:rPr>
              <w:t>6</w:t>
            </w:r>
            <w:r>
              <w:rPr>
                <w:lang w:val="en-US"/>
              </w:rPr>
              <w:t xml:space="preserve">, and it scores highest for industry partnerships. </w:t>
            </w:r>
            <w:r w:rsidRPr="00082AB1">
              <w:rPr>
                <w:lang w:val="en-US"/>
              </w:rPr>
              <w:t>The unit has four chairs: Construction Management and Engineering</w:t>
            </w:r>
            <w:r>
              <w:rPr>
                <w:lang w:val="en-US"/>
              </w:rPr>
              <w:t xml:space="preserve">, </w:t>
            </w:r>
            <w:r w:rsidRPr="00082AB1">
              <w:rPr>
                <w:lang w:val="en-US"/>
              </w:rPr>
              <w:t>Urban planning</w:t>
            </w:r>
            <w:r>
              <w:rPr>
                <w:lang w:val="en-US"/>
              </w:rPr>
              <w:t xml:space="preserve">, </w:t>
            </w:r>
            <w:r w:rsidRPr="00082AB1">
              <w:rPr>
                <w:lang w:val="en-US"/>
              </w:rPr>
              <w:t>Design Systems</w:t>
            </w:r>
            <w:r>
              <w:rPr>
                <w:lang w:val="en-US"/>
              </w:rPr>
              <w:t xml:space="preserve">, and </w:t>
            </w:r>
            <w:r w:rsidRPr="00082AB1">
              <w:rPr>
                <w:lang w:val="en-US"/>
              </w:rPr>
              <w:t>Real Estate Management and Development</w:t>
            </w:r>
            <w:r>
              <w:rPr>
                <w:lang w:val="en-US"/>
              </w:rPr>
              <w:t xml:space="preserve">.  The unit consists of 76 employees. Among them, there are 34 scholars, 34 PhD students, 4 other research </w:t>
            </w:r>
            <w:r w:rsidR="00B11C07">
              <w:rPr>
                <w:lang w:val="en-US"/>
              </w:rPr>
              <w:t>staff</w:t>
            </w:r>
            <w:r>
              <w:rPr>
                <w:lang w:val="en-US"/>
              </w:rPr>
              <w:t xml:space="preserve"> and 4 support st</w:t>
            </w:r>
            <w:r w:rsidR="00B11C07">
              <w:rPr>
                <w:lang w:val="en-US"/>
              </w:rPr>
              <w:t>a</w:t>
            </w:r>
            <w:r>
              <w:rPr>
                <w:lang w:val="en-US"/>
              </w:rPr>
              <w:t>ff. In addition, the unit attracts around 80 students and amongst them around 10% are international students.</w:t>
            </w:r>
          </w:p>
        </w:tc>
      </w:tr>
    </w:tbl>
    <w:p w:rsidR="00244B13" w:rsidRDefault="00244B13" w:rsidP="00594904">
      <w:pPr>
        <w:rPr>
          <w:sz w:val="28"/>
          <w:szCs w:val="28"/>
        </w:rPr>
      </w:pPr>
    </w:p>
    <w:sectPr w:rsidR="00244B13" w:rsidSect="005F5972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A7" w:rsidRDefault="005F5FA7" w:rsidP="00CD7AF4">
      <w:pPr>
        <w:spacing w:after="0" w:line="240" w:lineRule="auto"/>
      </w:pPr>
      <w:r>
        <w:separator/>
      </w:r>
    </w:p>
  </w:endnote>
  <w:endnote w:type="continuationSeparator" w:id="0">
    <w:p w:rsidR="005F5FA7" w:rsidRDefault="005F5FA7" w:rsidP="00CD7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458" w:rsidRPr="005E44F5" w:rsidRDefault="005E44F5" w:rsidP="005E44F5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F57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A7" w:rsidRDefault="005F5FA7" w:rsidP="00CD7AF4">
      <w:pPr>
        <w:spacing w:after="0" w:line="240" w:lineRule="auto"/>
      </w:pPr>
      <w:r>
        <w:separator/>
      </w:r>
    </w:p>
  </w:footnote>
  <w:footnote w:type="continuationSeparator" w:id="0">
    <w:p w:rsidR="005F5FA7" w:rsidRDefault="005F5FA7" w:rsidP="00CD7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56EE"/>
    <w:multiLevelType w:val="hybridMultilevel"/>
    <w:tmpl w:val="85BAB112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FC0168"/>
    <w:multiLevelType w:val="hybridMultilevel"/>
    <w:tmpl w:val="32EC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D7"/>
    <w:rsid w:val="00073EBC"/>
    <w:rsid w:val="00075483"/>
    <w:rsid w:val="000B1E10"/>
    <w:rsid w:val="000C6F3F"/>
    <w:rsid w:val="00120448"/>
    <w:rsid w:val="00144557"/>
    <w:rsid w:val="001866B8"/>
    <w:rsid w:val="00197696"/>
    <w:rsid w:val="001B15A4"/>
    <w:rsid w:val="001F3507"/>
    <w:rsid w:val="001F3BE4"/>
    <w:rsid w:val="00244B13"/>
    <w:rsid w:val="0026579A"/>
    <w:rsid w:val="0033178C"/>
    <w:rsid w:val="00335464"/>
    <w:rsid w:val="00383F6A"/>
    <w:rsid w:val="00393EFA"/>
    <w:rsid w:val="003A780A"/>
    <w:rsid w:val="003D7546"/>
    <w:rsid w:val="00525AD2"/>
    <w:rsid w:val="00594904"/>
    <w:rsid w:val="005E44F5"/>
    <w:rsid w:val="005F5972"/>
    <w:rsid w:val="005F5FA7"/>
    <w:rsid w:val="005F7DD5"/>
    <w:rsid w:val="006648AD"/>
    <w:rsid w:val="00681F0D"/>
    <w:rsid w:val="006F0898"/>
    <w:rsid w:val="00727001"/>
    <w:rsid w:val="00741FE5"/>
    <w:rsid w:val="00754624"/>
    <w:rsid w:val="007C7F2A"/>
    <w:rsid w:val="00810A0B"/>
    <w:rsid w:val="00816BEE"/>
    <w:rsid w:val="00831C14"/>
    <w:rsid w:val="00844579"/>
    <w:rsid w:val="008E15D7"/>
    <w:rsid w:val="008F46DB"/>
    <w:rsid w:val="008F6228"/>
    <w:rsid w:val="00900C65"/>
    <w:rsid w:val="00973E2E"/>
    <w:rsid w:val="00994193"/>
    <w:rsid w:val="009B1458"/>
    <w:rsid w:val="009B6A09"/>
    <w:rsid w:val="00A139B3"/>
    <w:rsid w:val="00A7678F"/>
    <w:rsid w:val="00B11C07"/>
    <w:rsid w:val="00B11D10"/>
    <w:rsid w:val="00B260D8"/>
    <w:rsid w:val="00BB6745"/>
    <w:rsid w:val="00BB733E"/>
    <w:rsid w:val="00BF4A15"/>
    <w:rsid w:val="00BF7872"/>
    <w:rsid w:val="00C55511"/>
    <w:rsid w:val="00CD7AF4"/>
    <w:rsid w:val="00CD7D97"/>
    <w:rsid w:val="00D00840"/>
    <w:rsid w:val="00D32433"/>
    <w:rsid w:val="00D44900"/>
    <w:rsid w:val="00E30A83"/>
    <w:rsid w:val="00E9318C"/>
    <w:rsid w:val="00EA0FA1"/>
    <w:rsid w:val="00EF5744"/>
    <w:rsid w:val="00F37638"/>
    <w:rsid w:val="00FA307E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F4"/>
  </w:style>
  <w:style w:type="paragraph" w:styleId="Footer">
    <w:name w:val="footer"/>
    <w:basedOn w:val="Normal"/>
    <w:link w:val="Footer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F4"/>
  </w:style>
  <w:style w:type="paragraph" w:styleId="BalloonText">
    <w:name w:val="Balloon Text"/>
    <w:basedOn w:val="Normal"/>
    <w:link w:val="BalloonTextChar"/>
    <w:uiPriority w:val="99"/>
    <w:semiHidden/>
    <w:unhideWhenUsed/>
    <w:rsid w:val="00C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46D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C6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AF4"/>
  </w:style>
  <w:style w:type="paragraph" w:styleId="Footer">
    <w:name w:val="footer"/>
    <w:basedOn w:val="Normal"/>
    <w:link w:val="FooterChar"/>
    <w:uiPriority w:val="99"/>
    <w:unhideWhenUsed/>
    <w:rsid w:val="00CD7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AF4"/>
  </w:style>
  <w:style w:type="paragraph" w:styleId="BalloonText">
    <w:name w:val="Balloon Text"/>
    <w:basedOn w:val="Normal"/>
    <w:link w:val="BalloonTextChar"/>
    <w:uiPriority w:val="99"/>
    <w:semiHidden/>
    <w:unhideWhenUsed/>
    <w:rsid w:val="00CD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F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C7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F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F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F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46DB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0C6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1B3B9-41E0-47B6-B00E-0612A6A7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2015-02-02T15:59:00Z</dcterms:created>
  <dcterms:modified xsi:type="dcterms:W3CDTF">2015-02-02T16:00:00Z</dcterms:modified>
</cp:coreProperties>
</file>